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 w:after="120" w:line="276"/>
        <w:jc w:val="center"/>
      </w:pPr>
      <w:r>
        <w:rPr>
          <w:color w:val="9E9E9E"/>
          <w:sz w:val="17"/>
          <w:szCs w:val="17"/>
        </w:rPr>
        <w:t xml:space="preserve">MANDATO COLETIVO PROFESSOR ALEX — PSOL GOIÁS</w:t>
      </w:r>
    </w:p>
    <w:p>
      <w:pPr>
        <w:spacing w:before="60" w:after="120" w:line="276"/>
        <w:jc w:val="center"/>
      </w:pPr>
      <w:r>
        <w:rPr>
          <w:b/>
          <w:bCs/>
          <w:color w:val="1A1A1A"/>
          <w:sz w:val="39"/>
          <w:szCs w:val="39"/>
        </w:rPr>
        <w:t xml:space="preserve">ARQUITETURA DE INFORMAÇÃO, FLUXO DE NAVEGAÇÃO E ESPECIFICAÇÃO DE INTERFACE</w:t>
      </w:r>
    </w:p>
    <w:p>
      <w:pPr>
        <w:spacing w:before="60" w:after="120" w:line="276"/>
        <w:jc w:val="center"/>
      </w:pPr>
      <w:r>
        <w:rPr>
          <w:i/>
          <w:iCs/>
          <w:color w:val="555555"/>
          <w:sz w:val="21"/>
          <w:szCs w:val="21"/>
        </w:rPr>
        <w:t xml:space="preserve">Manual de Implementação Técnica e Estrutural para WordPress — alexbenicio.com.br</w:t>
      </w:r>
    </w:p>
    <w:p>
      <w:pPr>
        <w:spacing w:before="60" w:after="120" w:line="276"/>
        <w:jc w:val="center"/>
      </w:pPr>
      <w:r>
        <w:rPr>
          <w:color w:val="9E9E9E"/>
          <w:sz w:val="18"/>
          <w:szCs w:val="18"/>
        </w:rPr>
        <w:t xml:space="preserve">23 de setembro de 2026</w:t>
      </w:r>
    </w:p>
    <w:p>
      <w:pPr>
        <w:pBdr>
          <w:bottom w:val="single" w:color="CCCCCC" w:sz="6"/>
        </w:pBdr>
        <w:spacing w:before="200" w:after="200"/>
      </w:pPr>
    </w:p>
    <w:p>
      <w:pPr>
        <w:pStyle w:val="Heading2"/>
        <w:spacing w:before="360" w:after="180"/>
      </w:pPr>
      <w:r>
        <w:t xml:space="preserve">ESPECIFICAÇÃO TÉCNICA E DIRETRIZES DE DESIGN SYSTEM</w:t>
      </w:r>
    </w:p>
    <w:p>
      <w:pPr>
        <w:pStyle w:val="Heading3"/>
        <w:spacing w:before="240" w:after="120"/>
      </w:pPr>
      <w:r>
        <w:t xml:space="preserve">1. Paleta Cromática e Parâmetros Visuais</w:t>
      </w:r>
    </w:p>
    <w:p>
      <w:pPr>
        <w:spacing w:before="60" w:after="120" w:line="276"/>
        <w:jc w:val="both"/>
      </w:pPr>
      <w:r>
        <w:t xml:space="preserve">A identidade visual da plataforma fundamenta-se nas diretrizes programáticas do mandato popular e da mobilização docente, combinando sobriedade institucional, contraste de alta visibilidade e acessibilidade visual segundo os padrões WCAG 2.1 nível AA. O ecossistema cromático é composto pelas seguintes chaves hexadecimais de aplicação mandatória:</w:t>
      </w:r>
    </w:p>
    <w:p>
      <w:pPr>
        <w:pStyle w:val="ListParagraph"/>
        <w:numPr>
          <w:ilvl w:val="0"/>
          <w:numId w:val="1"/>
        </w:numPr>
        <w:spacing w:before="40" w:after="40" w:line="276"/>
      </w:pPr>
      <w:r>
        <w:t xml:space="preserve">Roxo Institucional (Primary): #4A148C (aplicado em cabeçalhos institucionais, barras de destaque, bordas estruturais e elementos de autoridade).</w:t>
      </w:r>
    </w:p>
    <w:p>
      <w:pPr>
        <w:pStyle w:val="ListParagraph"/>
        <w:numPr>
          <w:ilvl w:val="0"/>
          <w:numId w:val="1"/>
        </w:numPr>
        <w:spacing w:before="40" w:after="40" w:line="276"/>
      </w:pPr>
      <w:r>
        <w:t xml:space="preserve">Amarelo Ouro Mobilização (Accent): #FFD600 (aplicado estrategicamente em botões de conversão primária, chamadas para ação [CTAs], marcadores de dados e tags de urgência).</w:t>
      </w:r>
    </w:p>
    <w:p>
      <w:pPr>
        <w:pStyle w:val="ListParagraph"/>
        <w:numPr>
          <w:ilvl w:val="0"/>
          <w:numId w:val="1"/>
        </w:numPr>
        <w:spacing w:before="40" w:after="40" w:line="276"/>
      </w:pPr>
      <w:r>
        <w:t xml:space="preserve">Grafite Profundo Textual (Body Text): #212121 (aplicado rigorosamente em todos os blocos de leitura contínua sobre fundos claros, garantindo legibilidade perfeita sem fadiga visual).</w:t>
      </w:r>
    </w:p>
    <w:p>
      <w:pPr>
        <w:pStyle w:val="ListParagraph"/>
        <w:numPr>
          <w:ilvl w:val="0"/>
          <w:numId w:val="1"/>
        </w:numPr>
        <w:spacing w:before="40" w:after="40" w:line="276"/>
      </w:pPr>
      <w:r>
        <w:t xml:space="preserve">Cinza Neutro Estrutural (Borders &amp; Dividers): #E0E0E0 (aplicado em linhas delimitadoras, contornos de cartões e grades de dados).</w:t>
      </w:r>
    </w:p>
    <w:p>
      <w:pPr>
        <w:pStyle w:val="ListParagraph"/>
        <w:numPr>
          <w:ilvl w:val="0"/>
          <w:numId w:val="1"/>
        </w:numPr>
        <w:spacing w:before="40" w:after="40" w:line="276"/>
      </w:pPr>
      <w:r>
        <w:t xml:space="preserve">Branco Puro (Surface): #FFFFFF (aplicado nas áreas de respiro, contêineres centrais de leitura e fundos de cards).</w:t>
      </w:r>
    </w:p>
    <w:p>
      <w:pPr>
        <w:pStyle w:val="ListParagraph"/>
        <w:numPr>
          <w:ilvl w:val="0"/>
          <w:numId w:val="1"/>
        </w:numPr>
        <w:spacing w:before="40" w:after="40" w:line="276"/>
      </w:pPr>
      <w:r>
        <w:t xml:space="preserve">Cinza Claro Acolhimento (Background Alt): #F8F9FA (aplicado em contêineres intercalados de dados estatísticos e seções de leitura secundária).</w:t>
      </w:r>
    </w:p>
    <w:p>
      <w:pPr>
        <w:pStyle w:val="ListParagraph"/>
        <w:numPr>
          <w:ilvl w:val="0"/>
          <w:numId w:val="1"/>
        </w:numPr>
        <w:spacing w:before="40" w:after="40" w:line="276"/>
      </w:pPr>
      <w:r>
        <w:t xml:space="preserve">Alerta e Violação Funcional (Warning/Denúncia): #B71C1C (aplicado com exclusividade em selos de urgência, advertências contra assédio e indicadores críticos da pesquisa participante).</w:t>
      </w:r>
    </w:p>
    <w:p>
      <w:pPr>
        <w:pBdr>
          <w:bottom w:val="single" w:color="CCCCCC" w:sz="6"/>
        </w:pBdr>
        <w:spacing w:before="200" w:after="200"/>
      </w:pPr>
    </w:p>
    <w:p>
      <w:pPr>
        <w:pStyle w:val="Heading3"/>
        <w:spacing w:before="240" w:after="120"/>
      </w:pPr>
      <w:r>
        <w:t xml:space="preserve">2. Arquitetura da Informação e Hierarquia de URLs</w:t>
      </w:r>
    </w:p>
    <w:p>
      <w:pPr>
        <w:spacing w:before="60" w:after="120" w:line="276"/>
        <w:jc w:val="both"/>
      </w:pPr>
      <w:r>
        <w:t xml:space="preserve">A topologia do portal foi concebida para conduzir o visitante desde a conscientização empírica da crise estrutural da educação pública em Goiás até a adesão às soluções legislativas concretas. As páginas e seus subdomínios obedecem ao esquema de hierarquia abaixo:</w:t>
      </w:r>
    </w:p>
    <w:p>
      <w:pPr>
        <w:pStyle w:val="ListParagraph"/>
        <w:numPr>
          <w:ilvl w:val="0"/>
          <w:numId w:val="1"/>
        </w:numPr>
        <w:spacing w:before="40" w:after="40" w:line="276"/>
      </w:pPr>
      <w:r>
        <w:t xml:space="preserve">Home: / (Página de aterrissagem, síntese diagnóstica, destaques legislativos e captura direta)</w:t>
      </w:r>
    </w:p>
    <w:p>
      <w:pPr>
        <w:pStyle w:val="ListParagraph"/>
        <w:numPr>
          <w:ilvl w:val="0"/>
          <w:numId w:val="1"/>
        </w:numPr>
        <w:spacing w:before="40" w:after="40" w:line="276"/>
      </w:pPr>
      <w:r>
        <w:t xml:space="preserve">Diagnóstico da Crise: /a-crise (Apresentação analítica dos dados coletados em 18 meses de pesquisa participante)
</w:t>
      </w:r>
      <w:r>
        <w:rPr>
          <w:i/>
          <w:iCs/>
        </w:rPr>
        <w:t xml:space="preserve">Subitem Dados:</w:t>
      </w:r>
      <w:r>
        <w:t xml:space="preserve"> /a-crise/dados-e-pesquisa</w:t>
      </w:r>
    </w:p>
    <w:p>
      <w:pPr>
        <w:pStyle w:val="ListParagraph"/>
        <w:numPr>
          <w:ilvl w:val="0"/>
          <w:numId w:val="1"/>
        </w:numPr>
        <w:spacing w:before="40" w:after="40" w:line="276"/>
      </w:pPr>
      <w:r>
        <w:rPr>
          <w:i/>
          <w:iCs/>
        </w:rPr>
        <w:t xml:space="preserve">Subitem Denúncia Sigilosa:</w:t>
      </w:r>
      <w:r>
        <w:t xml:space="preserve"> /a-crise/canal-de-acolhimento</w:t>
      </w:r>
    </w:p>
    <w:p>
      <w:pPr>
        <w:pStyle w:val="ListParagraph"/>
        <w:numPr>
          <w:ilvl w:val="0"/>
          <w:numId w:val="1"/>
        </w:numPr>
        <w:spacing w:before="40" w:after="40" w:line="276"/>
      </w:pPr>
      <w:r>
        <w:t xml:space="preserve">Propostas Legislativas: /propostas (Ementas, fundamentação teórica e minutas legislativas completas)
</w:t>
      </w:r>
      <w:r>
        <w:rPr>
          <w:i/>
          <w:iCs/>
        </w:rPr>
        <w:t xml:space="preserve">Eixo 1:</w:t>
      </w:r>
      <w:r>
        <w:t xml:space="preserve"> /propostas/protecao-antiassedio</w:t>
      </w:r>
    </w:p>
    <w:p>
      <w:pPr>
        <w:pStyle w:val="ListParagraph"/>
        <w:numPr>
          <w:ilvl w:val="0"/>
          <w:numId w:val="1"/>
        </w:numPr>
        <w:spacing w:before="40" w:after="40" w:line="276"/>
      </w:pPr>
      <w:r>
        <w:rPr>
          <w:i/>
          <w:iCs/>
        </w:rPr>
        <w:t xml:space="preserve">Eixo 2:</w:t>
      </w:r>
      <w:r>
        <w:t xml:space="preserve"> /propostas/carreira-e-remuneracao</w:t>
      </w:r>
    </w:p>
    <w:p>
      <w:pPr>
        <w:pStyle w:val="ListParagraph"/>
        <w:numPr>
          <w:ilvl w:val="0"/>
          <w:numId w:val="1"/>
        </w:numPr>
        <w:spacing w:before="40" w:after="40" w:line="276"/>
      </w:pPr>
      <w:r>
        <w:rPr>
          <w:i/>
          <w:iCs/>
        </w:rPr>
        <w:t xml:space="preserve">Eixo 3:</w:t>
      </w:r>
      <w:r>
        <w:t xml:space="preserve"> /propostas/formacao-e-autonomia</w:t>
      </w:r>
    </w:p>
    <w:p>
      <w:pPr>
        <w:pStyle w:val="ListParagraph"/>
        <w:numPr>
          <w:ilvl w:val="0"/>
          <w:numId w:val="1"/>
        </w:numPr>
        <w:spacing w:before="40" w:after="40" w:line="276"/>
      </w:pPr>
      <w:r>
        <w:rPr>
          <w:i/>
          <w:iCs/>
        </w:rPr>
        <w:t xml:space="preserve">Eixo 4:</w:t>
      </w:r>
      <w:r>
        <w:t xml:space="preserve"> /propostas/saude-mental-docente</w:t>
      </w:r>
    </w:p>
    <w:p>
      <w:pPr>
        <w:pStyle w:val="ListParagraph"/>
        <w:numPr>
          <w:ilvl w:val="0"/>
          <w:numId w:val="1"/>
        </w:numPr>
        <w:spacing w:before="40" w:after="40" w:line="276"/>
      </w:pPr>
      <w:r>
        <w:rPr>
          <w:i/>
          <w:iCs/>
        </w:rPr>
        <w:t xml:space="preserve">Eixo 5:</w:t>
      </w:r>
      <w:r>
        <w:t xml:space="preserve"> /propostas/conselho-dos-professores</w:t>
      </w:r>
    </w:p>
    <w:p>
      <w:pPr>
        <w:pStyle w:val="ListParagraph"/>
        <w:numPr>
          <w:ilvl w:val="0"/>
          <w:numId w:val="1"/>
        </w:numPr>
        <w:spacing w:before="40" w:after="40" w:line="276"/>
      </w:pPr>
      <w:r>
        <w:t xml:space="preserve">Legislação Comparada: /goias-em-perspectiva (Quadro analítico Goiás versus outros entes federativos)</w:t>
      </w:r>
    </w:p>
    <w:p>
      <w:pPr>
        <w:pStyle w:val="ListParagraph"/>
        <w:numPr>
          <w:ilvl w:val="0"/>
          <w:numId w:val="1"/>
        </w:numPr>
        <w:spacing w:before="40" w:after="40" w:line="276"/>
      </w:pPr>
      <w:r>
        <w:t xml:space="preserve">Vozes da Escola: /vozes-da-escola (Narrativas estruturadas a partir dos padrões da pesquisa de campo)</w:t>
      </w:r>
    </w:p>
    <w:p>
      <w:pPr>
        <w:pStyle w:val="ListParagraph"/>
        <w:numPr>
          <w:ilvl w:val="0"/>
          <w:numId w:val="1"/>
        </w:numPr>
        <w:spacing w:before="40" w:after="40" w:line="276"/>
      </w:pPr>
      <w:r>
        <w:t xml:space="preserve">Trajetória Política: /quem-e-alex-benicio (Biografia, credenciais acadêmicas e histórico de lutas)</w:t>
      </w:r>
    </w:p>
    <w:p>
      <w:pPr>
        <w:pStyle w:val="ListParagraph"/>
        <w:numPr>
          <w:ilvl w:val="0"/>
          <w:numId w:val="1"/>
        </w:numPr>
        <w:spacing w:before="40" w:after="40" w:line="276"/>
      </w:pPr>
      <w:r>
        <w:t xml:space="preserve">Agenda e Mobilização: /mobilizacao (Cronograma de plenárias, audiências e encontros de base)</w:t>
      </w:r>
    </w:p>
    <w:p>
      <w:pPr>
        <w:pStyle w:val="ListParagraph"/>
        <w:numPr>
          <w:ilvl w:val="0"/>
          <w:numId w:val="1"/>
        </w:numPr>
        <w:spacing w:before="40" w:after="40" w:line="276"/>
      </w:pPr>
      <w:r>
        <w:t xml:space="preserve">Central de Transparência e Downloads: /documentos (Repositório de minutas em Word/PDF para livre distribuição)</w:t>
      </w:r>
    </w:p>
    <w:p>
      <w:pPr>
        <w:pBdr>
          <w:bottom w:val="single" w:color="CCCCCC" w:sz="6"/>
        </w:pBdr>
        <w:spacing w:before="200" w:after="200"/>
      </w:pPr>
    </w:p>
    <w:p>
      <w:pPr>
        <w:pStyle w:val="Heading3"/>
        <w:spacing w:before="240" w:after="120"/>
      </w:pPr>
      <w:r>
        <w:t xml:space="preserve">3. Estrutura do Menu Principal (Navegação Superior)</w:t>
      </w:r>
    </w:p>
    <w:p>
      <w:pPr>
        <w:spacing w:before="60" w:after="120" w:line="276"/>
        <w:jc w:val="both"/>
      </w:pPr>
      <w:r>
        <w:t xml:space="preserve">O cabeçalho superior deve ser implementado no formato fixo (sticky header), garantindo permanência no campo de visão durante toda a rolagem da página. A distribuição dos itens organiza-se da esquerda para a direita:</w:t>
      </w:r>
    </w:p>
    <w:p>
      <w:pPr>
        <w:pStyle w:val="ListParagraph"/>
        <w:numPr>
          <w:ilvl w:val="0"/>
          <w:numId w:val="2"/>
        </w:numPr>
        <w:spacing w:before="40" w:after="40" w:line="276"/>
      </w:pPr>
      <w:r>
        <w:t xml:space="preserve">Logotipo Oficial: Vetor com o nome "Professor Alex" estilizado sobre fundo roxo (#4A148C), subtítulo "Educação com Pesquisa e Coragem" em caixa alta na cor amarelo ouro (#FFD600). Link direcionando para /.</w:t>
      </w:r>
    </w:p>
    <w:p>
      <w:pPr>
        <w:pStyle w:val="ListParagraph"/>
        <w:numPr>
          <w:ilvl w:val="0"/>
          <w:numId w:val="2"/>
        </w:numPr>
        <w:spacing w:before="40" w:after="40" w:line="276"/>
      </w:pPr>
      <w:r>
        <w:t xml:space="preserve">A Crise: Link âncora direto para a seção diagnóstica ou para /a-crise.</w:t>
      </w:r>
    </w:p>
    <w:p>
      <w:pPr>
        <w:pStyle w:val="ListParagraph"/>
        <w:numPr>
          <w:ilvl w:val="0"/>
          <w:numId w:val="2"/>
        </w:numPr>
        <w:spacing w:before="40" w:after="40" w:line="276"/>
      </w:pPr>
      <w:r>
        <w:t xml:space="preserve">Propostas Legislativas (Dropdown Interativo):
Estatuto de Proteção contra o Assédio Moral</w:t>
      </w:r>
    </w:p>
    <w:p>
      <w:pPr>
        <w:pStyle w:val="ListParagraph"/>
        <w:numPr>
          <w:ilvl w:val="0"/>
          <w:numId w:val="2"/>
        </w:numPr>
        <w:spacing w:before="40" w:after="40" w:line="276"/>
      </w:pPr>
      <w:r>
        <w:t xml:space="preserve">Plano de Carreira e Piso Digno</w:t>
      </w:r>
    </w:p>
    <w:p>
      <w:pPr>
        <w:pStyle w:val="ListParagraph"/>
        <w:numPr>
          <w:ilvl w:val="0"/>
          <w:numId w:val="2"/>
        </w:numPr>
        <w:spacing w:before="40" w:after="40" w:line="276"/>
      </w:pPr>
      <w:r>
        <w:t xml:space="preserve">Formação Continuada e Aprendizado Real</w:t>
      </w:r>
    </w:p>
    <w:p>
      <w:pPr>
        <w:pStyle w:val="ListParagraph"/>
        <w:numPr>
          <w:ilvl w:val="0"/>
          <w:numId w:val="2"/>
        </w:numPr>
        <w:spacing w:before="40" w:after="40" w:line="276"/>
      </w:pPr>
      <w:r>
        <w:t xml:space="preserve">Saúde Mental e Descentralização Pericial</w:t>
      </w:r>
    </w:p>
    <w:p>
      <w:pPr>
        <w:pStyle w:val="ListParagraph"/>
        <w:numPr>
          <w:ilvl w:val="0"/>
          <w:numId w:val="2"/>
        </w:numPr>
        <w:spacing w:before="40" w:after="40" w:line="276"/>
      </w:pPr>
      <w:r>
        <w:t xml:space="preserve">Conselho Profissional da Educação Básica</w:t>
      </w:r>
    </w:p>
    <w:p>
      <w:pPr>
        <w:pStyle w:val="ListParagraph"/>
        <w:numPr>
          <w:ilvl w:val="0"/>
          <w:numId w:val="2"/>
        </w:numPr>
        <w:spacing w:before="40" w:after="40" w:line="276"/>
      </w:pPr>
      <w:r>
        <w:t xml:space="preserve">Comparativo Estadual: Link para /goias-em-perspectiva.</w:t>
      </w:r>
    </w:p>
    <w:p>
      <w:pPr>
        <w:pStyle w:val="ListParagraph"/>
        <w:numPr>
          <w:ilvl w:val="0"/>
          <w:numId w:val="2"/>
        </w:numPr>
        <w:spacing w:before="40" w:after="40" w:line="276"/>
      </w:pPr>
      <w:r>
        <w:t xml:space="preserve">Vozes da Escola: Link para /vozes-da-escola.</w:t>
      </w:r>
    </w:p>
    <w:p>
      <w:pPr>
        <w:pStyle w:val="ListParagraph"/>
        <w:numPr>
          <w:ilvl w:val="0"/>
          <w:numId w:val="2"/>
        </w:numPr>
        <w:spacing w:before="40" w:after="40" w:line="276"/>
      </w:pPr>
      <w:r>
        <w:t xml:space="preserve">Quem é Alex: Link para /quem-e-alex-benicio.</w:t>
      </w:r>
    </w:p>
    <w:p>
      <w:pPr>
        <w:pStyle w:val="ListParagraph"/>
        <w:numPr>
          <w:ilvl w:val="0"/>
          <w:numId w:val="2"/>
        </w:numPr>
        <w:spacing w:before="40" w:after="40" w:line="276"/>
      </w:pPr>
      <w:r>
        <w:t xml:space="preserve">Botão de Ação Primária (CTA Destacado): Botão retangular com cantos levemente arredondados, preenchimento #FFD600, tipografia preta em peso semi-bold: [Assine o Manifesto das Propostas].</w:t>
      </w:r>
    </w:p>
    <w:p>
      <w:pPr>
        <w:pBdr>
          <w:bottom w:val="single" w:color="CCCCCC" w:sz="6"/>
        </w:pBdr>
        <w:spacing w:before="200" w:after="200"/>
      </w:pPr>
    </w:p>
    <w:p>
      <w:pPr>
        <w:pStyle w:val="Heading3"/>
        <w:spacing w:before="240" w:after="120"/>
      </w:pPr>
      <w:r>
        <w:t xml:space="preserve">4. Fluxo e Jornada do Usuário</w:t>
      </w:r>
    </w:p>
    <w:p>
      <w:pPr>
        <w:spacing w:before="60" w:after="120" w:line="276"/>
        <w:jc w:val="both"/>
      </w:pPr>
      <w:r>
        <w:t xml:space="preserve">A jornada do usuário no portal estrutura-se em quatro trilhas cognitivas claramente delineadas, projetadas para transformar visitantes casuais em agentes mobilizados:</w:t>
      </w:r>
    </w:p>
    <w:p>
      <w:r>
        <w:t xml:space="preserve">[VISITANTE CASUAL] </w:t>
      </w:r>
    </w:p>
    <w:p>
      <w:r>
        <w:t xml:space="preserve">       │</w:t>
      </w:r>
    </w:p>
    <w:p>
      <w:r>
        <w:t xml:space="preserve">       ▼</w:t>
      </w:r>
    </w:p>
    <w:p>
      <w:r>
        <w:t xml:space="preserve">[HERO SECTION: Impacto Emocional e Síntese Programática]</w:t>
      </w:r>
    </w:p>
    <w:p>
      <w:r>
        <w:t xml:space="preserve">       │</w:t>
      </w:r>
    </w:p>
    <w:p>
      <w:r>
        <w:t xml:space="preserve">       ├─────────────────────────────────┬─────────────────────────────────┐</w:t>
      </w:r>
    </w:p>
    <w:p>
      <w:r>
        <w:t xml:space="preserve">       ▼                                 ▼                                 ▼</w:t>
      </w:r>
    </w:p>
    <w:p>
      <w:r>
        <w:t xml:space="preserve">[TRILHA 1: O Professor Adoecido]   [TRILHA 2: O Cidadão Cético]      [TRILHA 3: O Pesquisador/Jurista]</w:t>
      </w:r>
    </w:p>
    <w:p>
      <w:r>
        <w:t xml:space="preserve">       │                                 │                                 │</w:t>
      </w:r>
    </w:p>
    <w:p>
      <w:r>
        <w:t xml:space="preserve">       ▼                                 ▼                                 ▼</w:t>
      </w:r>
    </w:p>
    <w:p>
      <w:r>
        <w:t xml:space="preserve">Seção Diagnóstico &amp; Depoimentos    Quadro Comparativo Goiás × Brasil  Minutas dos Projetos de Lei</w:t>
      </w:r>
    </w:p>
    <w:p>
      <w:r>
        <w:t xml:space="preserve">(Identificação e Validação)        (Evidência da Ineficiência Atual) (Rigor Técnico e Legalidade)</w:t>
      </w:r>
    </w:p>
    <w:p>
      <w:r>
        <w:t xml:space="preserve">       │                                 │                                 │</w:t>
      </w:r>
    </w:p>
    <w:p>
      <w:r>
        <w:t xml:space="preserve">       └─────────────────────────────────┴─────────────────────────────────┘</w:t>
      </w:r>
    </w:p>
    <w:p>
      <w:r>
        <w:t xml:space="preserve">                                         │</w:t>
      </w:r>
    </w:p>
    <w:p>
      <w:r>
        <w:t xml:space="preserve">                                         ▼</w:t>
      </w:r>
    </w:p>
    <w:p>
      <w:r>
        <w:t xml:space="preserve">                     [CONVERSÃO CENTRAL / MOBILIZAÇÃO]</w:t>
      </w:r>
    </w:p>
    <w:p>
      <w:r>
        <w:t xml:space="preserve">                     - Adesão via WhatsApp</w:t>
      </w:r>
    </w:p>
    <w:p>
      <w:r>
        <w:t xml:space="preserve">                     - Download do Dossiê Legislativo</w:t>
      </w:r>
    </w:p>
    <w:p>
      <w:r>
        <w:t xml:space="preserve">                     - Registro no Canal Seguro</w:t>
      </w:r>
    </w:p>
    <w:p>
      <w:pPr>
        <w:pStyle w:val="ListParagraph"/>
        <w:numPr>
          <w:ilvl w:val="0"/>
          <w:numId w:val="1"/>
        </w:numPr>
        <w:spacing w:before="40" w:after="40" w:line="276"/>
      </w:pPr>
      <w:r>
        <w:t xml:space="preserve">Fase de Sensibilização: O docente ou familiar acessa o topo da página, identifica-se imediatamente com o diagnóstico da sobrecarga de trabalho e encontra uma síntese clara das razões do adoecimento coletivo.</w:t>
      </w:r>
    </w:p>
    <w:p>
      <w:pPr>
        <w:pStyle w:val="ListParagraph"/>
        <w:numPr>
          <w:ilvl w:val="0"/>
          <w:numId w:val="1"/>
        </w:numPr>
        <w:spacing w:before="40" w:after="40" w:line="276"/>
      </w:pPr>
      <w:r>
        <w:t xml:space="preserve">Fase de Convencimento Técnico: O usuário depara-se com tabelas analíticas comprovando a defasagem orçamentária e salarial de Goiás em comparação direta com estados vizinhos e de regiões convergentes.</w:t>
      </w:r>
    </w:p>
    <w:p>
      <w:pPr>
        <w:pStyle w:val="ListParagraph"/>
        <w:numPr>
          <w:ilvl w:val="0"/>
          <w:numId w:val="1"/>
        </w:numPr>
        <w:spacing w:before="40" w:after="40" w:line="276"/>
      </w:pPr>
      <w:r>
        <w:t xml:space="preserve">Fase de Proposição e Esperança: Leitura das soluções legislativas estruturadas em cinco eixos, com acesso transparente ao teor dos artigos propostos.</w:t>
      </w:r>
    </w:p>
    <w:p>
      <w:pPr>
        <w:pStyle w:val="ListParagraph"/>
        <w:numPr>
          <w:ilvl w:val="0"/>
          <w:numId w:val="1"/>
        </w:numPr>
        <w:spacing w:before="40" w:after="40" w:line="276"/>
      </w:pPr>
      <w:r>
        <w:t xml:space="preserve">Fase de Engajamento Operacional: O fluxo culmina no preenchimento do formulário seguro de apoio ou no redirecionamento para os núcleos de discussão setorial via WhatsApp oficial.</w:t>
      </w:r>
    </w:p>
    <w:p>
      <w:pPr>
        <w:pBdr>
          <w:bottom w:val="single" w:color="CCCCCC" w:sz="6"/>
        </w:pBdr>
        <w:spacing w:before="200" w:after="200"/>
      </w:pPr>
    </w:p>
    <w:p>
      <w:pPr>
        <w:pStyle w:val="Heading3"/>
        <w:spacing w:before="240" w:after="120"/>
      </w:pPr>
      <w:r>
        <w:t xml:space="preserve">5. Wireframes Textuais das Páginas Principais</w:t>
      </w:r>
    </w:p>
    <w:p>
      <w:r>
        <w:t xml:space="preserve">5.1. Página Inicial (Home —</w:t>
      </w:r>
    </w:p>
    <w:p>
      <w:r>
        <w:t xml:space="preserve">/</w:t>
      </w:r>
    </w:p>
    <w:p>
      <w:r>
        <w:t xml:space="preserve">)</w:t>
      </w:r>
    </w:p>
    <w:p>
      <w:r>
        <w:t xml:space="preserve">++</w:t>
      </w:r>
    </w:p>
    <w:p>
      <w:r>
        <w:t xml:space="preserve">| [LOGO] Professor Alex | A Crise | Propostas v | Comparativo | Vozes | [ASSINAR PL]   |</w:t>
      </w:r>
    </w:p>
    <w:p>
      <w:r>
        <w:t xml:space="preserve">++</w:t>
      </w:r>
    </w:p>
    <w:p>
      <w:r>
        <w:t xml:space="preserve">| HERO SECTION |</w:t>
      </w:r>
    </w:p>
    <w:p>
      <w:r>
        <w:t xml:space="preserve">| - Fundo Roxo Profundo (#4A148C) com textura sutil                                |</w:t>
      </w:r>
    </w:p>
    <w:p>
      <w:r>
        <w:t xml:space="preserve">| - Headline: EDUCAÇÃO PÚBLICA NÃO É LUXO. É DIREITO E SOBERANIA.                  |</w:t>
      </w:r>
    </w:p>
    <w:p>
      <w:r>
        <w:t xml:space="preserve">| - Subheadline: Propostas legislativas de base científica contra o assédio, o      |</w:t>
      </w:r>
    </w:p>
    <w:p>
      <w:r>
        <w:t xml:space="preserve">|   adoecimento e a destruição da carreira docente em Goiás.                       |</w:t>
      </w:r>
    </w:p>
    <w:p>
      <w:r>
        <w:t xml:space="preserve">| - CTAs: [Conhecer as Propostas] (Amarelo) | [Ler Diagnóstico da Crise] (Branco)  |</w:t>
      </w:r>
    </w:p>
    <w:p>
      <w:r>
        <w:t xml:space="preserve">| - Imagem Lateral: Fotografia institucional autêntica em ambiente escolar real     |</w:t>
      </w:r>
    </w:p>
    <w:p>
      <w:r>
        <w:t xml:space="preserve">++</w:t>
      </w:r>
    </w:p>
    <w:p>
      <w:r>
        <w:t xml:space="preserve">| SEÇÃO 1: O DIAGNÓSTICO DO CHÃO DA ESCOLA (Fundo Branco #FFFFFF)                   |</w:t>
      </w:r>
    </w:p>
    <w:p>
      <w:r>
        <w:t xml:space="preserve">| - Título de Seção: A Crise Silenciosa que o Estado Tenta Ocultar                  |</w:t>
      </w:r>
    </w:p>
    <w:p>
      <w:r>
        <w:t xml:space="preserve">| - Três Cards de Impacto Analítico:                                                |</w:t>
      </w:r>
    </w:p>
    <w:p>
      <w:r>
        <w:t xml:space="preserve">|    Card 1: 45% em Burnout Diagnosticado                                          |</w:t>
      </w:r>
    </w:p>
    <w:p>
      <w:r>
        <w:t xml:space="preserve">|    Card 2: 60% Alvos de Assédio e Perseguição Sistemática                        |</w:t>
      </w:r>
    </w:p>
    <w:p>
      <w:r>
        <w:t xml:space="preserve">|    Card 3: 24º Posição no Ranking Salarial Brasileiro                           |</w:t>
      </w:r>
    </w:p>
    <w:p>
      <w:r>
        <w:t xml:space="preserve">| - Citação de Destaque: Extraída de depoimento real resguardado sob anonimato      |</w:t>
      </w:r>
    </w:p>
    <w:p>
      <w:r>
        <w:t xml:space="preserve">| - CTA Intermediário: [Entenda a Metodologia da Pesquisa]                         |</w:t>
      </w:r>
    </w:p>
    <w:p>
      <w:r>
        <w:t xml:space="preserve">++</w:t>
      </w:r>
    </w:p>
    <w:p>
      <w:r>
        <w:t xml:space="preserve">| SEÇÃO 2: O PROGRAMA LEGISLATIVO — 5 EIXOS DA TRANSFORMAÇÃO (Fundo #F8F9FA)        |</w:t>
      </w:r>
    </w:p>
    <w:p>
      <w:r>
        <w:t xml:space="preserve">| - Grid com 5 Blocos Expansíveis (Acordeão ou Modal):                              |</w:t>
      </w:r>
    </w:p>
    <w:p>
      <w:r>
        <w:t xml:space="preserve">|    Eixo 1: Estatuto de Proteção contra o Assédio Moral Docente                  |</w:t>
      </w:r>
    </w:p>
    <w:p>
      <w:r>
        <w:t xml:space="preserve">|    Eixo 2: Plano de Recuperação Salarial e Descentralização Pericial             |</w:t>
      </w:r>
    </w:p>
    <w:p>
      <w:r>
        <w:t xml:space="preserve">|    Eixo 3: Formação Continuada e Revogação do Adestramento para Avaliações       |</w:t>
      </w:r>
    </w:p>
    <w:p>
      <w:r>
        <w:t xml:space="preserve">|    Eixo 4: Programa Estadual de Apoio Psicológico e Reconhecimento Ocupacional   |</w:t>
      </w:r>
    </w:p>
    <w:p>
      <w:r>
        <w:t xml:space="preserve">|    Eixo 5: Conselho Estadual dos Professores da Educação Básica                  |</w:t>
      </w:r>
    </w:p>
    <w:p>
      <w:r>
        <w:t xml:space="preserve">| - Cada bloco contém: Diagnóstico, Mudança Concreta e [Acessar Minuta da Lei]     |</w:t>
      </w:r>
    </w:p>
    <w:p>
      <w:r>
        <w:t xml:space="preserve">++</w:t>
      </w:r>
    </w:p>
    <w:p>
      <w:r>
        <w:t xml:space="preserve">| SEÇÃO 3: GOIÁS EM PERSPECTIVA COMPARADA (Fundo Branco #FFFFFF)                    |</w:t>
      </w:r>
    </w:p>
    <w:p>
      <w:r>
        <w:t xml:space="preserve">| - Tabela Dinâmica: Goiás vs. Maranhão vs. Mato Grosso do Sul                      |</w:t>
      </w:r>
    </w:p>
    <w:p>
      <w:r>
        <w:t xml:space="preserve">| - Métricas: Vencimento Base, Paridade da Regência na Licença, Perícia Regional    |</w:t>
      </w:r>
    </w:p>
    <w:p>
      <w:r>
        <w:t xml:space="preserve">| - Gráfico Comparativo: Relação entre Investimento Docente e Índices Reais       |</w:t>
      </w:r>
    </w:p>
    <w:p>
      <w:r>
        <w:t xml:space="preserve">++</w:t>
      </w:r>
    </w:p>
    <w:p>
      <w:r>
        <w:t xml:space="preserve">| SEÇÃO 4: HISTÓRIAS QUE O SISTEMA TENTA APAGAR (Fundo #F8F9FA)                     |</w:t>
      </w:r>
    </w:p>
    <w:p>
      <w:r>
        <w:t xml:space="preserve">| - Slider com 4 Estudos de Caso (Metodologia de Análise Estrutural):               |</w:t>
      </w:r>
    </w:p>
    <w:p>
      <w:r>
        <w:t xml:space="preserve">|    Caso 1: O esgotamento físico pelo assédio institucional                       |</w:t>
      </w:r>
    </w:p>
    <w:p>
      <w:r>
        <w:t xml:space="preserve">|    Caso 2: A fuga de talentos para estados vizinhos                              |</w:t>
      </w:r>
    </w:p>
    <w:p>
      <w:r>
        <w:t xml:space="preserve">|    Caso 3: A imposição da aprovação estatística sem aprendizagem real            |</w:t>
      </w:r>
    </w:p>
    <w:p>
      <w:r>
        <w:t xml:space="preserve">|    Caso 4: A solidão do gestor engolido pela burocracia punitiva                |</w:t>
      </w:r>
    </w:p>
    <w:p>
      <w:r>
        <w:t xml:space="preserve">++</w:t>
      </w:r>
    </w:p>
    <w:p>
      <w:r>
        <w:t xml:space="preserve">| SEÇÃO 5: QUEM ASSINA ESTAS PROPOSTAS (Fundo Branco #FFFFFF)                       |</w:t>
      </w:r>
    </w:p>
    <w:p>
      <w:r>
        <w:t xml:space="preserve">| - Foto Institucional de Alex Benício em diálogo formativo com educadores         |</w:t>
      </w:r>
    </w:p>
    <w:p>
      <w:r>
        <w:t xml:space="preserve">| - Resumo de Credenciais: Professor da Rede Pública há 15 anos, Mestre em Ensino  |</w:t>
      </w:r>
    </w:p>
    <w:p>
      <w:r>
        <w:t xml:space="preserve">|   de Física, Pesquisador de Políticas Públicas, Militante do PSOL Goiás           |</w:t>
      </w:r>
    </w:p>
    <w:p>
      <w:r>
        <w:t xml:space="preserve">| - Declaração de Princípios: "Não aceitaremos a pedagogia do medo"                 |</w:t>
      </w:r>
    </w:p>
    <w:p>
      <w:r>
        <w:t xml:space="preserve">++</w:t>
      </w:r>
    </w:p>
    <w:p>
      <w:r>
        <w:t xml:space="preserve">| SEÇÃO 6: CANAL DE PARTICIPAÇÃO E ENGAJAMENTO (Fundo Roxo #4A148C)                 |</w:t>
      </w:r>
    </w:p>
    <w:p>
      <w:r>
        <w:t xml:space="preserve">| - Headline: A Mudança Legislativa Constrói-se a Partir da Sua Voz                |</w:t>
      </w:r>
    </w:p>
    <w:p>
      <w:r>
        <w:t xml:space="preserve">| - Formulário Simples: Nome | Função/Escola | Município | WhatsApp                 |</w:t>
      </w:r>
    </w:p>
    <w:p>
      <w:r>
        <w:t xml:space="preserve">| - Checkbox: "Desejo receber atualizações das audiências públicas sobre os PLs"    |</w:t>
      </w:r>
    </w:p>
    <w:p>
      <w:r>
        <w:t xml:space="preserve">| - Botão Central: [Unir-se ao Movimento Docente] (Amarelo #FFD600)                 |</w:t>
      </w:r>
    </w:p>
    <w:p>
      <w:r>
        <w:t xml:space="preserve">++</w:t>
      </w:r>
    </w:p>
    <w:p>
      <w:r>
        <w:t xml:space="preserve">| FOOTER INSTITUCIONAL (Fundo Cinza Escuro #212121)                                 |</w:t>
      </w:r>
    </w:p>
    <w:p>
      <w:r>
        <w:t xml:space="preserve">| - 4 Colunas de Links, Avisos Legais de Transparência Eleitoral e Redes Sociais    |</w:t>
      </w:r>
    </w:p>
    <w:p>
      <w:r>
        <w:t xml:space="preserve">++</w:t>
      </w:r>
    </w:p>
    <w:p>
      <w:r>
        <w:t xml:space="preserve">5.2. Página de Propostas Legislativas (</w:t>
      </w:r>
    </w:p>
    <w:p>
      <w:r>
        <w:t xml:space="preserve">/propostas</w:t>
      </w:r>
    </w:p>
    <w:p>
      <w:r>
        <w:t xml:space="preserve">)</w:t>
      </w:r>
    </w:p>
    <w:p>
      <w:r>
        <w:t xml:space="preserve">++</w:t>
      </w:r>
    </w:p>
    <w:p>
      <w:r>
        <w:t xml:space="preserve">| BANNER DA PÁGINA: Fundo Roxo (#4A148C)                                            |</w:t>
      </w:r>
    </w:p>
    <w:p>
      <w:r>
        <w:t xml:space="preserve">| Breadcrumb: Início &gt; Propostas Legislativas                                       |</w:t>
      </w:r>
    </w:p>
    <w:p>
      <w:r>
        <w:t xml:space="preserve">| H1: Plano de Reestruturação da Dignidade e Liberdade Docente                      |</w:t>
      </w:r>
    </w:p>
    <w:p>
      <w:r>
        <w:t xml:space="preserve">| Subtítulo: Minutas legislativas protocoláveis fundamentadas em pedagogia crítica  |</w:t>
      </w:r>
    </w:p>
    <w:p>
      <w:r>
        <w:t xml:space="preserve">++</w:t>
      </w:r>
    </w:p>
    <w:p>
      <w:r>
        <w:t xml:space="preserve">| SELETOR DE EIXOS (Menu Flutuante Horizontal):                                     |</w:t>
      </w:r>
    </w:p>
    <w:p>
      <w:r>
        <w:t xml:space="preserve">| [1. Antiassédio] | [2. Carreira] | [3. Formação] | [4. Saúde] | [5. Conselho]     |</w:t>
      </w:r>
    </w:p>
    <w:p>
      <w:r>
        <w:t xml:space="preserve">++</w:t>
      </w:r>
    </w:p>
    <w:p>
      <w:r>
        <w:t xml:space="preserve">| BLOCO DETALHADO DO EIXO (Exemplo do Eixo 1 - Antiassédio):                       |</w:t>
      </w:r>
    </w:p>
    <w:p>
      <w:r>
        <w:t xml:space="preserve">| - Ementa Formal do Anteprojeto de Lei                                             |</w:t>
      </w:r>
    </w:p>
    <w:p>
      <w:r>
        <w:t xml:space="preserve">| - Fundamentação Teórica: Paulo Freire e Dermeval Saviani                          |</w:t>
      </w:r>
    </w:p>
    <w:p>
      <w:r>
        <w:t xml:space="preserve">| - O Que A Lei Muda na Prática (Lista com ícones de validação)                    |</w:t>
      </w:r>
    </w:p>
    <w:p>
      <w:r>
        <w:t xml:space="preserve">| - Minuta Completa do Projeto de Lei (Visualizador em bloco expansível):          |</w:t>
      </w:r>
    </w:p>
    <w:p>
      <w:r>
        <w:t xml:space="preserve">|   * Artigo 1º ao Artigo 12º formatados em padrão legístico oficial                |</w:t>
      </w:r>
    </w:p>
    <w:p>
      <w:r>
        <w:t xml:space="preserve">| - Caixa de Download do Documento:                                                 |</w:t>
      </w:r>
    </w:p>
    <w:p>
      <w:r>
        <w:t xml:space="preserve">|   [Baixar Minuta Oficial em Word (.docx)] | [Baixar Dossiê em PDF (.pdf)]         |</w:t>
      </w:r>
    </w:p>
    <w:p>
      <w:r>
        <w:t xml:space="preserve">++</w:t>
      </w:r>
    </w:p>
    <w:p>
      <w:r>
        <w:t xml:space="preserve">| SEÇÃO DE FEEDBACK E EMENDAS POPULARES:                                            |</w:t>
      </w:r>
    </w:p>
    <w:p>
      <w:r>
        <w:t xml:space="preserve">| Formulário para o professor enviar sugestões de redação para os artigos           |</w:t>
      </w:r>
    </w:p>
    <w:p>
      <w:r>
        <w:t xml:space="preserve">++</w:t>
      </w:r>
    </w:p>
    <w:p>
      <w:pPr>
        <w:pBdr>
          <w:bottom w:val="single" w:color="CCCCCC" w:sz="6"/>
        </w:pBdr>
        <w:spacing w:before="200" w:after="200"/>
      </w:pPr>
    </w:p>
    <w:p>
      <w:pPr>
        <w:pStyle w:val="Heading3"/>
        <w:spacing w:before="240" w:after="120"/>
      </w:pPr>
      <w:r>
        <w:t xml:space="preserve">6. Estrutura de Categorias, Taxonomias e Rótulos do WordPress</w:t>
      </w:r>
    </w:p>
    <w:p>
      <w:pPr>
        <w:spacing w:before="60" w:after="120" w:line="276"/>
        <w:jc w:val="both"/>
      </w:pPr>
      <w:r>
        <w:t xml:space="preserve">Para garantir organização impecável do banco de dados, recuperação ágil de conteúdo e indexação semântica rigorosa nos motores de busca (SEO), o CMS WordPress deve operar sob o seguinte arcabouço estrutural de Post Types e Taxonomias:</w:t>
      </w:r>
    </w:p>
    <w:p>
      <w:r>
        <w:t xml:space="preserve">Custom Post Types (Tipos de Conteúdo Personalizados)</w:t>
      </w:r>
    </w:p>
    <w:p>
      <w:pPr>
        <w:pStyle w:val="ListParagraph"/>
        <w:numPr>
          <w:ilvl w:val="0"/>
          <w:numId w:val="1"/>
        </w:numPr>
        <w:spacing w:before="40" w:after="40" w:line="276"/>
      </w:pPr>
      <w:r>
        <w:t xml:space="preserve">projetos_lei (Contém as propostas legislativas, minutas, status de tramitação e justificativas).</w:t>
      </w:r>
    </w:p>
    <w:p>
      <w:pPr>
        <w:pStyle w:val="ListParagraph"/>
        <w:numPr>
          <w:ilvl w:val="0"/>
          <w:numId w:val="1"/>
        </w:numPr>
        <w:spacing w:before="40" w:after="40" w:line="276"/>
      </w:pPr>
      <w:r>
        <w:t xml:space="preserve">casos_pesquisa (Contém as narrativas estruturadas, relatos metodológicos e dados da pesquisa de campo).</w:t>
      </w:r>
    </w:p>
    <w:p>
      <w:pPr>
        <w:pStyle w:val="ListParagraph"/>
        <w:numPr>
          <w:ilvl w:val="0"/>
          <w:numId w:val="1"/>
        </w:numPr>
        <w:spacing w:before="40" w:after="40" w:line="276"/>
      </w:pPr>
      <w:r>
        <w:t xml:space="preserve">artigos_analise (Contém reflexões teóricas, análises de conjuntura e artigos de opinião do candidato).</w:t>
      </w:r>
    </w:p>
    <w:p>
      <w:r>
        <w:t xml:space="preserve">Taxonomias Personalizadas e Categorias Padrão</w:t>
      </w:r>
    </w:p>
    <w:p>
      <w:pPr>
        <w:pStyle w:val="ListParagraph"/>
        <w:numPr>
          <w:ilvl w:val="0"/>
          <w:numId w:val="1"/>
        </w:numPr>
        <w:spacing w:before="40" w:after="40" w:line="276"/>
      </w:pPr>
      <w:r>
        <w:t xml:space="preserve">Categoria: Eixos Legislativos (eixo_tematico)
</w:t>
      </w:r>
      <w:r>
        <w:rPr>
          <w:i/>
          <w:iCs/>
        </w:rPr>
        <w:t xml:space="preserve">Termo 1:</w:t>
      </w:r>
      <w:r>
        <w:t xml:space="preserve"> Proteção Funcional e Antiassédio</w:t>
      </w:r>
    </w:p>
    <w:p>
      <w:pPr>
        <w:pStyle w:val="ListParagraph"/>
        <w:numPr>
          <w:ilvl w:val="0"/>
          <w:numId w:val="1"/>
        </w:numPr>
        <w:spacing w:before="40" w:after="40" w:line="276"/>
      </w:pPr>
      <w:r>
        <w:rPr>
          <w:i/>
          <w:iCs/>
        </w:rPr>
        <w:t xml:space="preserve">Termo 2:</w:t>
      </w:r>
      <w:r>
        <w:t xml:space="preserve"> Salário, Vencimento e Previdência</w:t>
      </w:r>
    </w:p>
    <w:p>
      <w:pPr>
        <w:pStyle w:val="ListParagraph"/>
        <w:numPr>
          <w:ilvl w:val="0"/>
          <w:numId w:val="1"/>
        </w:numPr>
        <w:spacing w:before="40" w:after="40" w:line="276"/>
      </w:pPr>
      <w:r>
        <w:rPr>
          <w:i/>
          <w:iCs/>
        </w:rPr>
        <w:t xml:space="preserve">Termo 3:</w:t>
      </w:r>
      <w:r>
        <w:t xml:space="preserve"> Autonomia Pedagógica e Currículo</w:t>
      </w:r>
    </w:p>
    <w:p>
      <w:pPr>
        <w:pStyle w:val="ListParagraph"/>
        <w:numPr>
          <w:ilvl w:val="0"/>
          <w:numId w:val="1"/>
        </w:numPr>
        <w:spacing w:before="40" w:after="40" w:line="276"/>
      </w:pPr>
      <w:r>
        <w:rPr>
          <w:i/>
          <w:iCs/>
        </w:rPr>
        <w:t xml:space="preserve">Termo 4:</w:t>
      </w:r>
      <w:r>
        <w:t xml:space="preserve"> Perícia Médica e Seguridade Funcional</w:t>
      </w:r>
    </w:p>
    <w:p>
      <w:pPr>
        <w:pStyle w:val="ListParagraph"/>
        <w:numPr>
          <w:ilvl w:val="0"/>
          <w:numId w:val="1"/>
        </w:numPr>
        <w:spacing w:before="40" w:after="40" w:line="276"/>
      </w:pPr>
      <w:r>
        <w:rPr>
          <w:i/>
          <w:iCs/>
        </w:rPr>
        <w:t xml:space="preserve">Termo 5:</w:t>
      </w:r>
      <w:r>
        <w:t xml:space="preserve"> Representação de Classe e Autonomia</w:t>
      </w:r>
    </w:p>
    <w:p>
      <w:pPr>
        <w:pStyle w:val="ListParagraph"/>
        <w:numPr>
          <w:ilvl w:val="0"/>
          <w:numId w:val="1"/>
        </w:numPr>
        <w:spacing w:before="40" w:after="40" w:line="276"/>
      </w:pPr>
      <w:r>
        <w:t xml:space="preserve">Categoria: Formato Documental (tipo_documento)
</w:t>
      </w:r>
      <w:r>
        <w:rPr>
          <w:i/>
          <w:iCs/>
        </w:rPr>
        <w:t xml:space="preserve">Termo 1:</w:t>
      </w:r>
      <w:r>
        <w:t xml:space="preserve"> Anteprojeto de Lei Formal</w:t>
      </w:r>
    </w:p>
    <w:p>
      <w:pPr>
        <w:pStyle w:val="ListParagraph"/>
        <w:numPr>
          <w:ilvl w:val="0"/>
          <w:numId w:val="1"/>
        </w:numPr>
        <w:spacing w:before="40" w:after="40" w:line="276"/>
      </w:pPr>
      <w:r>
        <w:rPr>
          <w:i/>
          <w:iCs/>
        </w:rPr>
        <w:t xml:space="preserve">Termo 2:</w:t>
      </w:r>
      <w:r>
        <w:t xml:space="preserve"> Parecer Jurídico-Constitucional</w:t>
      </w:r>
    </w:p>
    <w:p>
      <w:pPr>
        <w:pStyle w:val="ListParagraph"/>
        <w:numPr>
          <w:ilvl w:val="0"/>
          <w:numId w:val="1"/>
        </w:numPr>
        <w:spacing w:before="40" w:after="40" w:line="276"/>
      </w:pPr>
      <w:r>
        <w:rPr>
          <w:i/>
          <w:iCs/>
        </w:rPr>
        <w:t xml:space="preserve">Termo 3:</w:t>
      </w:r>
      <w:r>
        <w:t xml:space="preserve"> Nota Metodológica de Pesquisa</w:t>
      </w:r>
    </w:p>
    <w:p>
      <w:pPr>
        <w:pStyle w:val="ListParagraph"/>
        <w:numPr>
          <w:ilvl w:val="0"/>
          <w:numId w:val="1"/>
        </w:numPr>
        <w:spacing w:before="40" w:after="40" w:line="276"/>
      </w:pPr>
      <w:r>
        <w:rPr>
          <w:i/>
          <w:iCs/>
        </w:rPr>
        <w:t xml:space="preserve">Termo 4:</w:t>
      </w:r>
      <w:r>
        <w:t xml:space="preserve"> Comparativo Interestadual</w:t>
      </w:r>
    </w:p>
    <w:p>
      <w:pPr>
        <w:pStyle w:val="ListParagraph"/>
        <w:numPr>
          <w:ilvl w:val="0"/>
          <w:numId w:val="1"/>
        </w:numPr>
        <w:spacing w:before="40" w:after="40" w:line="276"/>
      </w:pPr>
      <w:r>
        <w:t xml:space="preserve">Tags Semânticas Globais: piso-docente-goias, saude-mental-professor, regencia-de-classe, junta-medica-goiania, educacao-sem-militarizacao, ideb-sem-fraude.</w:t>
      </w:r>
    </w:p>
    <w:p>
      <w:pPr>
        <w:pBdr>
          <w:bottom w:val="single" w:color="CCCCCC" w:sz="6"/>
        </w:pBdr>
        <w:spacing w:before="200" w:after="200"/>
      </w:pPr>
    </w:p>
    <w:p>
      <w:pPr>
        <w:pStyle w:val="Heading3"/>
        <w:spacing w:before="240" w:after="120"/>
      </w:pPr>
      <w:r>
        <w:t xml:space="preserve">7. Footer e Elementos de Navegação Inferior</w:t>
      </w:r>
    </w:p>
    <w:p>
      <w:pPr>
        <w:spacing w:before="60" w:after="120" w:line="276"/>
        <w:jc w:val="both"/>
      </w:pPr>
      <w:r>
        <w:t xml:space="preserve">O rodapé deve consolidar a autoridade política do mandato coletivo, prover acesso universal aos documentos norteadores e certificar conformidade integral com a legislação eleitoral e a Lei Geral de Proteção de Dados (LGPD). A diagramação organiza-se em quatro colunas harmonizadas:</w:t>
      </w:r>
    </w:p>
    <w:p>
      <w:pPr>
        <w:pStyle w:val="ListParagraph"/>
        <w:numPr>
          <w:ilvl w:val="0"/>
          <w:numId w:val="1"/>
        </w:numPr>
        <w:spacing w:before="40" w:after="40" w:line="276"/>
      </w:pPr>
      <w:r>
        <w:t xml:space="preserve">Coluna 1 — O Mandato: Resumo institucional, fotografia da marca, identificação partidária oficial (Federação PSOL/REDE — Goiás) e compromisso explícito de mandato intransigente em favor da classe trabalhadora da educação.</w:t>
      </w:r>
    </w:p>
    <w:p>
      <w:pPr>
        <w:pStyle w:val="ListParagraph"/>
        <w:numPr>
          <w:ilvl w:val="0"/>
          <w:numId w:val="1"/>
        </w:numPr>
        <w:spacing w:before="40" w:after="40" w:line="276"/>
      </w:pPr>
      <w:r>
        <w:t xml:space="preserve">Coluna 2 — Acesso Direto às Leis: Links rápidos e diretos para o download individual de cada um dos 5 Anteprojetos de Lei protocoláveis.</w:t>
      </w:r>
    </w:p>
    <w:p>
      <w:pPr>
        <w:pStyle w:val="ListParagraph"/>
        <w:numPr>
          <w:ilvl w:val="0"/>
          <w:numId w:val="1"/>
        </w:numPr>
        <w:spacing w:before="40" w:after="40" w:line="276"/>
      </w:pPr>
      <w:r>
        <w:t xml:space="preserve">Coluna 3 — Denúncia e Acolhimento: Atalhos para o Canal Sigiloso de Relatos Docentes, Informações sobre Acolhimento Sindical e Orientações para Produção de Provas em Assédio Moral.</w:t>
      </w:r>
    </w:p>
    <w:p>
      <w:pPr>
        <w:pStyle w:val="ListParagraph"/>
        <w:numPr>
          <w:ilvl w:val="0"/>
          <w:numId w:val="1"/>
        </w:numPr>
        <w:spacing w:before="40" w:after="40" w:line="276"/>
      </w:pPr>
      <w:r>
        <w:t xml:space="preserve">Coluna 4 — Transparência Eleitoral e Redes: CNPJ da campanha, endereço da sede de mobilização em Goiânia, canais oficiais no Instagram (@professoralex50) e canal de distribuição via WhatsApp.</w:t>
      </w:r>
    </w:p>
    <w:p>
      <w:pPr>
        <w:pBdr>
          <w:bottom w:val="single" w:color="CCCCCC" w:sz="6"/>
        </w:pBdr>
        <w:spacing w:before="200" w:after="200"/>
      </w:pPr>
    </w:p>
    <w:p>
      <w:pPr>
        <w:pStyle w:val="Heading2"/>
        <w:spacing w:before="360" w:after="180"/>
      </w:pPr>
      <w:r>
        <w:t xml:space="preserve">CONTEÚDO INTEGRAL E ESTRUTURADO PARA AS SEÇÕES DO SITE (COPY-PASTE READY)</w:t>
      </w:r>
    </w:p>
    <w:p>
      <w:pPr>
        <w:spacing w:before="60" w:after="120" w:line="276"/>
        <w:jc w:val="both"/>
      </w:pPr>
      <w:r>
        <w:t xml:space="preserve">Os textos a seguir estão rigorosamente redigidos e revisados, estruturados conforme a linguagem e a autoridade técnica necessárias para publicação imediata no portal eletrônico, sem necessidade de edições intermediárias.</w:t>
      </w:r>
    </w:p>
    <w:p>
      <w:pPr>
        <w:pBdr>
          <w:bottom w:val="single" w:color="CCCCCC" w:sz="6"/>
        </w:pBdr>
        <w:spacing w:before="200" w:after="200"/>
      </w:pPr>
    </w:p>
    <w:p>
      <w:pPr>
        <w:pStyle w:val="Heading3"/>
        <w:spacing w:before="240" w:after="120"/>
      </w:pPr>
      <w:r>
        <w:t xml:space="preserve">SEÇÃO: HERO E APRESENTAÇÃO INSTITUCIONAL</w:t>
      </w:r>
    </w:p>
    <w:p>
      <w:r>
        <w:t xml:space="preserve">Banner Principal (Hero Section)</w:t>
      </w:r>
    </w:p>
    <w:p>
      <w:pPr>
        <w:spacing w:before="60" w:after="120" w:line="276"/>
        <w:jc w:val="both"/>
      </w:pPr>
      <w:r>
        <w:t xml:space="preserve">Headline: EDUCAÇÃO PÚBLICA NÃO É BALCÃO DE NEGÓCIOS. É SOBERANIA POPULAR E DIGNIDADE DOCENTE.</w:t>
      </w:r>
    </w:p>
    <w:p>
      <w:pPr>
        <w:spacing w:before="60" w:after="120" w:line="276"/>
        <w:jc w:val="both"/>
      </w:pPr>
      <w:r>
        <w:t xml:space="preserve">Subheadline: O mandato coletivo do Professor Alex apresenta à sociedade goiana um pacote de leis construído a partir do chão da escola e de pesquisa acadêmica rigorosa para pôr fim à perseguição institucional, recuperar o salário confiscado e devolver a liberdade pedagógica aos professores de Goiás.</w:t>
      </w:r>
    </w:p>
    <w:p>
      <w:pPr>
        <w:spacing w:before="60" w:after="120" w:line="276"/>
        <w:jc w:val="both"/>
      </w:pPr>
      <w:r>
        <w:t xml:space="preserve">Chamadas de Conversão:</w:t>
      </w:r>
    </w:p>
    <w:p>
      <w:r>
        <w:t xml:space="preserve">*   Botão Primário: `[Conheça as Propostas Legislativas]`</w:t>
      </w:r>
    </w:p>
    <w:p>
      <w:r>
        <w:t xml:space="preserve">*   Botão Secundário: `[Acesse os Dados da Pesquisa em Goiás]`</w:t>
      </w:r>
    </w:p>
    <w:p>
      <w:pPr>
        <w:pBdr>
          <w:bottom w:val="single" w:color="CCCCCC" w:sz="6"/>
        </w:pBdr>
        <w:spacing w:before="200" w:after="200"/>
      </w:pPr>
    </w:p>
    <w:p>
      <w:pPr>
        <w:pStyle w:val="Heading3"/>
        <w:spacing w:before="240" w:after="120"/>
      </w:pPr>
      <w:r>
        <w:t xml:space="preserve">SEÇÃO: O DIAGNÓSTICO DA CRISE EDUCACIONAL EM GOIÁS</w:t>
      </w:r>
    </w:p>
    <w:p>
      <w:r>
        <w:t xml:space="preserve">A Crise Silenciosa que o Estado Insiste em Ocultar</w:t>
      </w:r>
    </w:p>
    <w:p>
      <w:pPr>
        <w:spacing w:before="60" w:after="120" w:line="276"/>
        <w:jc w:val="both"/>
      </w:pPr>
      <w:r>
        <w:t xml:space="preserve">Durante dezoito meses, o Professor Alex Benício conduziu uma pesquisa participante junto a mais de duzentos profissionais da rede pública estadual e das redes municipais em todas as mesorregiões de Goiás. Longe das estatísticas maquiadas da propaganda governamental, a realidade constatada é de profunda violência institucional e esfacelamento moral dos trabalhadores da educação.</w:t>
      </w:r>
    </w:p>
    <w:p>
      <w:pPr>
        <w:spacing w:before="60" w:after="120" w:line="276"/>
        <w:jc w:val="both"/>
      </w:pPr>
      <w:r>
        <w:t xml:space="preserve">A degradação do ensino público goiano não é fruto do acaso ou da escassez orçamentária: trata-se de um projeto deliberado de subordinação do magistério à lógica da gestão empresarial punitiva. O professor deixou de ser considerado o mediador intelectual da aprendizagem para ser tratado como uma engrenagem descartável, cobrado por metas quantitativas artificiais enquanto tem seus direitos fundamentais confiscados pela administração pública.</w:t>
      </w:r>
    </w:p>
    <w:p>
      <w:r>
        <w:t xml:space="preserve">Indicadores Críticos da Rede Goiana (Evidências de Campo)</w:t>
      </w:r>
    </w:p>
    <w:p>
      <w:pPr>
        <w:pStyle w:val="ListParagraph"/>
        <w:numPr>
          <w:ilvl w:val="0"/>
          <w:numId w:val="1"/>
        </w:numPr>
        <w:spacing w:before="40" w:after="40" w:line="276"/>
      </w:pPr>
      <w:r>
        <w:t xml:space="preserve">Adoecimento Mental Generalizado: 45% dos docentes entrevistados apresentam sintomas clínicos agudos de Síndrome de Burnout, transtorno depressivo maior ou crises severas de ansiedade associadas ao ambiente laboral.</w:t>
      </w:r>
    </w:p>
    <w:p>
      <w:pPr>
        <w:pStyle w:val="ListParagraph"/>
        <w:numPr>
          <w:ilvl w:val="0"/>
          <w:numId w:val="1"/>
        </w:numPr>
        <w:spacing w:before="40" w:after="40" w:line="276"/>
      </w:pPr>
      <w:r>
        <w:t xml:space="preserve">Práticas Sistemáticas de Assédio Moral: 60% dos educadores relatam ter sofrido perseguição explícita por parte de gestores comissionados, incluindo ameaças de perda da modulação, imposição de aprovação automática e retaliações veladas.</w:t>
      </w:r>
    </w:p>
    <w:p>
      <w:pPr>
        <w:pStyle w:val="ListParagraph"/>
        <w:numPr>
          <w:ilvl w:val="0"/>
          <w:numId w:val="1"/>
        </w:numPr>
        <w:spacing w:before="40" w:after="40" w:line="276"/>
      </w:pPr>
      <w:r>
        <w:t xml:space="preserve">Humilhação Pericial Desumana: 100% dos professores lotados fora da capital são submetidos à via-crúcis burocrática de deslocamento obrigatório a Goiânia para perícia médica na empresa privada terceirizada, mesmo em situações de convalescença pós-cirúrgica ou crises psiquiátricas agudas.</w:t>
      </w:r>
    </w:p>
    <w:p>
      <w:pPr>
        <w:pStyle w:val="ListParagraph"/>
        <w:numPr>
          <w:ilvl w:val="0"/>
          <w:numId w:val="1"/>
        </w:numPr>
        <w:spacing w:before="40" w:after="40" w:line="276"/>
      </w:pPr>
      <w:r>
        <w:t xml:space="preserve">Confisco da Gratificação na Licença Médica: Goiás institucionalizou a punição financeira ao professor doente, retirando integralmente a gratificação de regência de classe no instante em que o trabalhador precisa de afastamento para restabelecer a saúde.</w:t>
      </w:r>
    </w:p>
    <w:p>
      <w:pPr>
        <w:pStyle w:val="ListParagraph"/>
        <w:numPr>
          <w:ilvl w:val="0"/>
          <w:numId w:val="1"/>
        </w:numPr>
        <w:spacing w:before="40" w:after="40" w:line="276"/>
      </w:pPr>
      <w:r>
        <w:t xml:space="preserve">Abandono Salarial e Êxodo de Especialistas: Posicionado em vergonhoso vigésimo quarto lugar no ranking de remuneração da carreira docente do Brasil, o estado de Goiás registra índices alarmantes de abandono de cargo, perdendo mestres e doutores para estados vizinhos e redes privadas.</w:t>
      </w:r>
    </w:p>
    <w:p>
      <w:pPr>
        <w:pBdr>
          <w:bottom w:val="single" w:color="CCCCCC" w:sz="6"/>
        </w:pBdr>
        <w:spacing w:before="200" w:after="200"/>
      </w:pPr>
    </w:p>
    <w:p>
      <w:pPr>
        <w:pStyle w:val="Heading3"/>
        <w:spacing w:before="240" w:after="120"/>
      </w:pPr>
      <w:r>
        <w:t xml:space="preserve">SEÇÃO: PROPOSTAS LEGISLATIVAS E ANTEPROJETOS DE LEI</w:t>
      </w:r>
    </w:p>
    <w:p>
      <w:pPr>
        <w:pBdr>
          <w:bottom w:val="single" w:color="CCCCCC" w:sz="6"/>
        </w:pBdr>
        <w:spacing w:before="200" w:after="200"/>
      </w:pPr>
    </w:p>
    <w:p>
      <w:pPr>
        <w:pStyle w:val="Heading3"/>
        <w:spacing w:before="240" w:after="120"/>
      </w:pPr>
      <w:r>
        <w:t xml:space="preserve">EIXO 1: ESTATUTO DE PROTEÇÃO CONTRA O ASSÉDIO MORAL E A PERSEGUIÇÃO INSTITUCIONAL</w:t>
      </w:r>
    </w:p>
    <w:p>
      <w:r>
        <w:t xml:space="preserve">Ementa do Projeto de Lei Complementar</w:t>
      </w:r>
    </w:p>
    <w:p>
      <w:pPr>
        <w:spacing w:before="60" w:after="120" w:line="276"/>
        <w:jc w:val="both"/>
      </w:pPr>
      <w:r>
        <w:rPr>
          <w:i/>
          <w:iCs/>
        </w:rPr>
        <w:t xml:space="preserve">"Institui o Estatuto Estadual de Proteção Integral ao Docente e Profissionais da Educação Básica contra o Assédio Moral e a Violência Institucional no âmbito da rede pública do Estado de Goiás, assegura garantias processuais inalienáveis, tipifica sanções a gestores abusivos e dá outras providências."</w:t>
      </w:r>
    </w:p>
    <w:p>
      <w:r>
        <w:t xml:space="preserve">Justificativa Teórico-Política e Fundamentação</w:t>
      </w:r>
    </w:p>
    <w:p>
      <w:pPr>
        <w:spacing w:before="60" w:after="120" w:line="276"/>
        <w:jc w:val="both"/>
      </w:pPr>
      <w:r>
        <w:t xml:space="preserve">Como ensina Paulo Freire em sua </w:t>
      </w:r>
      <w:r>
        <w:rPr>
          <w:i/>
          <w:iCs/>
        </w:rPr>
        <w:t xml:space="preserve">Pedagogia da Autonomia</w:t>
      </w:r>
      <w:r>
        <w:t xml:space="preserve">, não há prática educativa transformadora em um ambiente dominado pelo medo, pelo silenciamento e pela opressão burocrática. A escola que persegue seus professores para maquiar estatísticas é a mesma que ensina a subserviência aos seus estudantes. Em Goiás, construiu-se uma estrutura autocrática onde diretores comissionados operam como capatazes do rendimento estático, valendo-se do isolamento social do docente insubmisso para forçar sua demissão ou transferência compulsória.</w:t>
      </w:r>
    </w:p>
    <w:p>
      <w:pPr>
        <w:spacing w:before="60" w:after="120" w:line="276"/>
        <w:jc w:val="both"/>
      </w:pPr>
      <w:r>
        <w:t xml:space="preserve">Inspirado na robustez protetiva dos microssistemas de tutela contra a vulnerabilidade — a exemplo da Lei Federal nº 11.340/2006 (Lei Maria da Penha) —, este Projeto de Lei rompe com a impunidade administrativa. Ele cria a inversão qualificada do ônus processual em favor do educador denunciante, impede a criação de dossiês clandestinos e estabelece a nulidade de pleno direito para qualquer procedimento administrativo disciplinar conduzido sem a ampla defesa substantiva.</w:t>
      </w:r>
    </w:p>
    <w:p>
      <w:r>
        <w:t xml:space="preserve">Minuta Articulada do Anteprojeto de Lei</w:t>
      </w:r>
    </w:p>
    <w:p>
      <w:pPr>
        <w:spacing w:before="60" w:after="120" w:line="276"/>
        <w:jc w:val="both"/>
      </w:pPr>
      <w:r>
        <w:t xml:space="preserve">Art. 1º Esta Lei Complementar estabelece os mecanismos de prevenção, acolhimento, proteção e responsabilização civil, administrativa e disciplinar relativos a atos de assédio moral, perseguição institucional e coação funcional praticados contra professores da rede pública estadual de Goiás.</w:t>
      </w:r>
    </w:p>
    <w:p>
      <w:pPr>
        <w:spacing w:before="60" w:after="120" w:line="276"/>
        <w:jc w:val="both"/>
      </w:pPr>
      <w:r>
        <w:t xml:space="preserve">Art. 2º Configura assédio moral no ambiente escolar qualquer conduta comissiva ou omissiva, reiterada ou em ato isolado de grave repercussão psicológica, que resulte em degradação deliberada das condições de trabalho, atentado à dignidade funcional ou violação da integridade psíquica do professor, destacando-se expressamente:</w:t>
      </w:r>
    </w:p>
    <w:p>
      <w:r>
        <w:t xml:space="preserve">1. A imposição formal ou tácita de alteração de notas, médias ou conceitos escolares sem fundamentação avaliativa autônoma emitida pelo docente responsável pela regência.
2. A lavratura de termos de ocorrência, advertências e atas administrativas à revelia do profissional, sem que lhe seja dada ciência formal imediata e contraditório prévio.
3. A utilização coercitiva de depoimentos de alunos menores de idade desprovidos de protocolo psicológico formal e acompanhamento do Conselho Tutelar ou responsáveis legais.
4. O isolamento deliberado do professor de atividades de planejamento coletivo, eventos escolares e grupos institucionais de comunicação de trabalho.
5. A ameaça, ostensiva ou velada, de perda de modulação, devolução para a coordenação regional ou alocação arbitrária em unidades de difícil acesso como represália funcional.</w:t>
      </w:r>
    </w:p>
    <w:p>
      <w:pPr>
        <w:spacing w:before="60" w:after="120" w:line="276"/>
        <w:jc w:val="both"/>
      </w:pPr>
      <w:r>
        <w:t xml:space="preserve">Art. 3º O professor que denunciar práticas de assédio moral perante os canais sindicais, corregedorias ou Comissão Parlamentar de Inquérito terá garantida a estabilidade provisória da sua modulação e local de lotação pelo período mínimo de vinte e quatro meses, sendo vedada qualquer remoção compulsória unilateral.</w:t>
      </w:r>
    </w:p>
    <w:p>
      <w:pPr>
        <w:spacing w:before="60" w:after="120" w:line="276"/>
        <w:jc w:val="both"/>
      </w:pPr>
      <w:r>
        <w:t xml:space="preserve">Art. 4º Qualquer documento probatório, denúncia anônima ou memorando acusatório juntado aos assentamentos funcionais do educador sem sua prévia notificação pessoal no prazo improrrogável de cinco dias úteis será considerado nulo de pleno direito, incorrendo a autoridade ocultadora em crime de prevaricação administrativa.</w:t>
      </w:r>
    </w:p>
    <w:p>
      <w:pPr>
        <w:spacing w:before="60" w:after="120" w:line="276"/>
        <w:jc w:val="both"/>
      </w:pPr>
      <w:r>
        <w:t xml:space="preserve">Art. 5º O gestor, coordenador ou superior hierárquico cuja prática de assédio for confirmada por comissão independente e paritária de apuração será imediatamente afastado do exercício de qualquer cargo em comissão ou função gratificada, ficando impedido de nova investidura gestora pelo período de dez anos, sem prejuízo da responsabilidade civil regressiva referente aos danos causados ao erário e à integridade do docente.</w:t>
      </w:r>
    </w:p>
    <w:p>
      <w:pPr>
        <w:pBdr>
          <w:bottom w:val="single" w:color="CCCCCC" w:sz="6"/>
        </w:pBdr>
        <w:spacing w:before="200" w:after="200"/>
      </w:pPr>
    </w:p>
    <w:p>
      <w:pPr>
        <w:pStyle w:val="Heading3"/>
        <w:spacing w:before="240" w:after="120"/>
      </w:pPr>
      <w:r>
        <w:t xml:space="preserve">EIXO 2: RECUPERAÇÃO DA CARREIRA, VENCIMENTO-BASE E FIM DO CONFISCO NA LICENÇA</w:t>
      </w:r>
    </w:p>
    <w:p>
      <w:r>
        <w:t xml:space="preserve">Ementa do Projeto de Lei</w:t>
      </w:r>
    </w:p>
    <w:p>
      <w:pPr>
        <w:spacing w:before="60" w:after="120" w:line="276"/>
        <w:jc w:val="both"/>
      </w:pPr>
      <w:r>
        <w:rPr>
          <w:i/>
          <w:iCs/>
        </w:rPr>
        <w:t xml:space="preserve">"Dispõe sobre o Plano de Reestruturação da Carreira do Magistério Público Estadual de Goiás, assegura o vencimento-base compatível com os melhores padrões federativos, proíbe o estorno da gratificação de regência em casos de licença médica e descentraliza a avaliação pericial funcional."</w:t>
      </w:r>
    </w:p>
    <w:p>
      <w:r>
        <w:t xml:space="preserve">Justificativa Teórico-Política e Fundamentação</w:t>
      </w:r>
    </w:p>
    <w:p>
      <w:pPr>
        <w:spacing w:before="60" w:after="120" w:line="276"/>
        <w:jc w:val="both"/>
      </w:pPr>
      <w:r>
        <w:t xml:space="preserve">A dignidade salarial é o pressuposto elementar da autonomia intelectual docente, tal como sustentado por Dermeval Saviani em sua </w:t>
      </w:r>
      <w:r>
        <w:rPr>
          <w:i/>
          <w:iCs/>
        </w:rPr>
        <w:t xml:space="preserve">Pedagogia Histórico-Crítica</w:t>
      </w:r>
      <w:r>
        <w:t xml:space="preserve">. Um professor submetido a três expedientes diários para complementar a subsistência básica familiar é espoliado do seu tempo de estudo, de preparação de aulas e de descanso restaurador. Goiás tornou-se um paraíso da precarização: disfarça o salário real por meio de bônus voláteis e penaliza financeiramente o profissional no instante em que seu corpo colapsa.</w:t>
      </w:r>
    </w:p>
    <w:p>
      <w:pPr>
        <w:spacing w:before="60" w:after="120" w:line="276"/>
        <w:jc w:val="both"/>
      </w:pPr>
      <w:r>
        <w:t xml:space="preserve">Enquanto estados como Maranhão e Mato Grosso do Sul demonstraram que o piso salarial digno, atrelado à carreira sólida, atrai e fixa os melhores quadros nas salas de aula, Goiás perde professores concursados de física, química, matemática e línguas para outras carreiras e redes. Não permitiremos mais a existência de uma junta médica terceirizada que desconsidera laudos psiquiátricos idôneos para forçar o retorno de profissionais gravemente enfermos.</w:t>
      </w:r>
    </w:p>
    <w:p>
      <w:r>
        <w:t xml:space="preserve">Minuta Articulada do Anteprojeto de Lei</w:t>
      </w:r>
    </w:p>
    <w:p>
      <w:pPr>
        <w:spacing w:before="60" w:after="120" w:line="276"/>
        <w:jc w:val="both"/>
      </w:pPr>
      <w:r>
        <w:t xml:space="preserve">Art. 1º O vencimento-base inicial do Quadro do Magistério Público da Educação Básica do Estado de Goiás para a jornada de quarenta horas semanais fica fixado no valor de R$ 8.500,00, incidindo a progressão funcional automática por titulação acadêmica e tempo de serviço.</w:t>
      </w:r>
    </w:p>
    <w:p>
      <w:pPr>
        <w:spacing w:before="60" w:after="120" w:line="276"/>
        <w:jc w:val="both"/>
      </w:pPr>
      <w:r>
        <w:t xml:space="preserve">Art. 2º A Gratificação de Regência de Classe e qualquer adicional funcional de natureza pedagógica consideram-se parte integrante, indissociável e permanente da remuneração ordinária do cargo efetivo.</w:t>
      </w:r>
    </w:p>
    <w:p>
      <w:pPr>
        <w:spacing w:before="60" w:after="120" w:line="276"/>
        <w:jc w:val="both"/>
      </w:pPr>
      <w:r>
        <w:t xml:space="preserve">Parágrafo único. É terminantemente proibido o desconto, estorno, suspensão ou retenção da gratificação de regência quando o servidor afastar-se de suas atribuições em razão de:</w:t>
      </w:r>
    </w:p>
    <w:p>
      <w:r>
        <w:t xml:space="preserve">1. Licença para tratamento de saúde própria ou de pessoa da família.
2. Licença-maternidade, paternidade ou adotante.
3. Acidente de trabalho e reabilitação funcional decorrente de doença profissional.</w:t>
      </w:r>
    </w:p>
    <w:p>
      <w:pPr>
        <w:spacing w:before="60" w:after="120" w:line="276"/>
        <w:jc w:val="both"/>
      </w:pPr>
      <w:r>
        <w:t xml:space="preserve">Art. 3º O Estado de Goiás procederá à rescisão unilateral imediata de todos os contratos de prestação de serviços com empresas privadas operadoras de perícia médica e juntas de avaliação de servidores públicos.</w:t>
      </w:r>
    </w:p>
    <w:p>
      <w:pPr>
        <w:spacing w:before="60" w:after="120" w:line="276"/>
        <w:jc w:val="both"/>
      </w:pPr>
      <w:r>
        <w:t xml:space="preserve">Art. 4º Fica instituído o Sistema Estadual Descentralizado de Saúde e Perícia Médica do Magistério, operado integralmente pelas unidades do Instituto de Assistência dos Servidores Públicos do Estado de Goiás (IPASGO) e hospitais universitários públicos em cada uma das Coordenações Regionais de Educação, facultando ao professor o atendimento em seu próprio município de residência ou circunscrição imediata.</w:t>
      </w:r>
    </w:p>
    <w:p>
      <w:pPr>
        <w:pBdr>
          <w:bottom w:val="single" w:color="CCCCCC" w:sz="6"/>
        </w:pBdr>
        <w:spacing w:before="200" w:after="200"/>
      </w:pPr>
    </w:p>
    <w:p>
      <w:pPr>
        <w:pStyle w:val="Heading3"/>
        <w:spacing w:before="240" w:after="120"/>
      </w:pPr>
      <w:r>
        <w:t xml:space="preserve">EIXO 3: APRENDIZADO REAL, AUTONOMIA PEDAGÓGICA E COMBATE AO ADESTRAMENTO</w:t>
      </w:r>
    </w:p>
    <w:p>
      <w:r>
        <w:t xml:space="preserve">Ementa do Projeto de Lei</w:t>
      </w:r>
    </w:p>
    <w:p>
      <w:pPr>
        <w:spacing w:before="60" w:after="120" w:line="276"/>
        <w:jc w:val="both"/>
      </w:pPr>
      <w:r>
        <w:rPr>
          <w:i/>
          <w:iCs/>
        </w:rPr>
        <w:t xml:space="preserve">"Institui o Plano Estadual de Autonomia Pedagógica e Avaliação Formativa Real em Goiás, veda a vinculação de remuneração ou dotação escolar aos índices quantitativos do SAEB/IDEB, revoga a aprovação estatística forçada e redireciona os programas de formação continuada."</w:t>
      </w:r>
    </w:p>
    <w:p>
      <w:r>
        <w:t xml:space="preserve">Justificativa Teórico-Política e Fundamentação</w:t>
      </w:r>
    </w:p>
    <w:p>
      <w:pPr>
        <w:spacing w:before="60" w:after="120" w:line="276"/>
        <w:jc w:val="both"/>
      </w:pPr>
      <w:r>
        <w:t xml:space="preserve">A educação pública foi sequestrada pela tirania do número. Sob o pretexto de índices fictícios de excelência no IDEB, gestores e secretarias estaduais transformaram as semanas escolares em um interminável cursinho de resolução mecânica de gabaritos. O aprendizado da ciência, da literatura e do pensamento crítico foi substituído pelo adestramento comportamental, gerando alunos analfabetos funcionais diplomados e professores esgotados moralmente por serem forçados a aprovar estudantes que não consolidaram os saberes necessários.</w:t>
      </w:r>
    </w:p>
    <w:p>
      <w:pPr>
        <w:spacing w:before="60" w:after="120" w:line="276"/>
        <w:jc w:val="both"/>
      </w:pPr>
      <w:r>
        <w:t xml:space="preserve">Este projeto restaura o princípio constitucional da autonomia didático-científica e resgata as contribuições epistemológicas de Lev Vygotsky sobre a zona de desenvolvimento proximal. O processo educativo precisa focar nas condições reais de apropriação do conhecimento e nos contextos socioeconômicos dos jovens goianos, erradicando a indústria dos simulados que transfere verbas públicas para consultorias privadas e fundações corporativas.</w:t>
      </w:r>
    </w:p>
    <w:p>
      <w:r>
        <w:t xml:space="preserve">Minuta Articulada do Anteprojeto de Lei</w:t>
      </w:r>
    </w:p>
    <w:p>
      <w:pPr>
        <w:spacing w:before="60" w:after="120" w:line="276"/>
        <w:jc w:val="both"/>
      </w:pPr>
      <w:r>
        <w:t xml:space="preserve">Art. 1º Fica garantida a soberania irrestrita do Conselho de Classe e do professor regente na definição do diagnóstico pedagógico, na aferição dos rendimentos escolares e nas deliberações de retenção ou promoção do educando.</w:t>
      </w:r>
    </w:p>
    <w:p>
      <w:pPr>
        <w:spacing w:before="60" w:after="120" w:line="276"/>
        <w:jc w:val="both"/>
      </w:pPr>
      <w:r>
        <w:t xml:space="preserve">Art. 2º É vedada a fixação de metas numéricas lineares de aprovação anual imposta por órgãos centrais ou regionais da Secretaria de Estado da Educação às unidades escolares, sob pena de responsabilidade funcional do agente emissor.</w:t>
      </w:r>
    </w:p>
    <w:p>
      <w:pPr>
        <w:spacing w:before="60" w:after="120" w:line="276"/>
        <w:jc w:val="both"/>
      </w:pPr>
      <w:r>
        <w:t xml:space="preserve">Art. 3º O Sistema de Avaliação da Educação Básica e seus congêneres estaduais passam a ter função estritamente diagnóstica e formativa, sendo expressamente proibida:</w:t>
      </w:r>
    </w:p>
    <w:p>
      <w:r>
        <w:t xml:space="preserve">1. A vinculação de bonificações, premiações salariais ou gratificações de qualquer natureza ao desempenho dos estudantes em provas padronizadas externas.
2. A utilização de ranqueamentos institucionais depreciativos entre unidades escolares para fins de alocação de verbas de infraestrutura.
3. A substituição do currículo regular por semanas exclusivas de simulados e adestramento de respostas para avaliações externas.</w:t>
      </w:r>
    </w:p>
    <w:p>
      <w:pPr>
        <w:spacing w:before="60" w:after="120" w:line="276"/>
        <w:jc w:val="both"/>
      </w:pPr>
      <w:r>
        <w:t xml:space="preserve">Art. 4º Fica criado o Programa Permanente de Apoio ao Ensino das Ciências e Humanidades, destinando 3% dos recursos orçamentários da educação para o aparelhamento de laboratórios experimentais, bibliotecas vivas e projetos científicos dirigidos pelos próprios professores nas escolas públicas de ensino médio.</w:t>
      </w:r>
    </w:p>
    <w:p>
      <w:pPr>
        <w:pBdr>
          <w:bottom w:val="single" w:color="CCCCCC" w:sz="6"/>
        </w:pBdr>
        <w:spacing w:before="200" w:after="200"/>
      </w:pPr>
    </w:p>
    <w:p>
      <w:pPr>
        <w:pStyle w:val="Heading3"/>
        <w:spacing w:before="240" w:after="120"/>
      </w:pPr>
      <w:r>
        <w:t xml:space="preserve">EIXO 4: SAÚDE MENTAL DOCENTE E SEGURIDADE OCUPACIONAL</w:t>
      </w:r>
    </w:p>
    <w:p>
      <w:r>
        <w:t xml:space="preserve">Ementa do Projeto de Lei</w:t>
      </w:r>
    </w:p>
    <w:p>
      <w:pPr>
        <w:spacing w:before="60" w:after="120" w:line="276"/>
        <w:jc w:val="both"/>
      </w:pPr>
      <w:r>
        <w:rPr>
          <w:i/>
          <w:iCs/>
        </w:rPr>
        <w:t xml:space="preserve">"Cria o Programa Estadual de Saúde Mental e Atenção Psicossocial aos Trabalhadores da Educação Básica de Goiás, tipifica a Síndrome de Burnout como patologia laboral compulsória de notificação e institui a licença restauradora remunerada."</w:t>
      </w:r>
    </w:p>
    <w:p>
      <w:r>
        <w:t xml:space="preserve">Justificativa Teórico-Política e Fundamentação</w:t>
      </w:r>
    </w:p>
    <w:p>
      <w:pPr>
        <w:spacing w:before="60" w:after="120" w:line="276"/>
        <w:jc w:val="both"/>
      </w:pPr>
      <w:r>
        <w:t xml:space="preserve">O colapso da saúde mental na educação pública tornou-se uma epidemia funcional normalizada pelo governo. O Estado suprime condições básicas de trabalho, impõe salas superlotadas, extingue o apoio pedagógico a estudantes com deficiência e, quando o profissional sucumbe ao desespero e ao esgotamento patológico, o mesmo Estado fecha-lhe as portas, acusa-o de preguiça e nega a cobertura de tratamentos psiquiátricos essenciais.</w:t>
      </w:r>
    </w:p>
    <w:p>
      <w:pPr>
        <w:spacing w:before="60" w:after="120" w:line="276"/>
        <w:jc w:val="both"/>
      </w:pPr>
      <w:r>
        <w:t xml:space="preserve">Cuidar da saúde do educador é zelar pelo futuro da juventude. Este projeto reconhece o nexo de causalidade incontestável entre a precarização do modelo de gestão escolar e os altos índices de ideação suicida, depressão e pânico que assolam nossos companheiros de magistério em todas as cidades goianas.</w:t>
      </w:r>
    </w:p>
    <w:p>
      <w:r>
        <w:t xml:space="preserve">Minuta Articulada do Anteprojeto de Lei</w:t>
      </w:r>
    </w:p>
    <w:p>
      <w:pPr>
        <w:spacing w:before="60" w:after="120" w:line="276"/>
        <w:jc w:val="both"/>
      </w:pPr>
      <w:r>
        <w:t xml:space="preserve">Art. 1º Fica instituído o Programa de Prevenção e Tratamento da Saúde Mental do Educador, assegurando a presença de equipes multidisciplinares próprias de apoio psicológico e psiquiátrico com atendimento exclusivo e prioritário aos servidores da educação.</w:t>
      </w:r>
    </w:p>
    <w:p>
      <w:pPr>
        <w:spacing w:before="60" w:after="120" w:line="276"/>
        <w:jc w:val="both"/>
      </w:pPr>
      <w:r>
        <w:t xml:space="preserve">Art. 2º Fica formalmente reconhecido, para todos os efeitos de direitos previdenciários e estatutários do Estado de Goiás, o nexo técnico causal entre a atividade de regência de classe em escolas com salas superlotadas e os transtornos de ansiedade, esgotamento psíquico e Síndrome de Burnout.</w:t>
      </w:r>
    </w:p>
    <w:p>
      <w:pPr>
        <w:spacing w:before="60" w:after="120" w:line="276"/>
        <w:jc w:val="both"/>
      </w:pPr>
      <w:r>
        <w:t xml:space="preserve">Art. 3º O professor que demonstrar sinais clínicos de estresse agudo atestado por laudo técnico terá direito a usufruir de até trinta dias por biênio de Licença Restauradora Remunerada para restabelecimento profilático da higidez mental, com preservação integral de seus rendimentos e cômputo irrestrito de tempo de serviço.</w:t>
      </w:r>
    </w:p>
    <w:p>
      <w:pPr>
        <w:pBdr>
          <w:bottom w:val="single" w:color="CCCCCC" w:sz="6"/>
        </w:pBdr>
        <w:spacing w:before="200" w:after="200"/>
      </w:pPr>
    </w:p>
    <w:p>
      <w:pPr>
        <w:pStyle w:val="Heading3"/>
        <w:spacing w:before="240" w:after="120"/>
      </w:pPr>
      <w:r>
        <w:t xml:space="preserve">EIXO 5: CONSELHO PROFISSIONAL DOS PROFESSORES DA EDUCAÇÃO BÁSICA (SISTEMA CFPEB/CEPEB)</w:t>
      </w:r>
    </w:p>
    <w:p>
      <w:r>
        <w:t xml:space="preserve">Ementa da Proposta de Diretriz Legislativa e Emenda</w:t>
      </w:r>
    </w:p>
    <w:p>
      <w:pPr>
        <w:spacing w:before="60" w:after="120" w:line="276"/>
        <w:jc w:val="both"/>
      </w:pPr>
      <w:r>
        <w:rPr>
          <w:i/>
          <w:iCs/>
        </w:rPr>
        <w:t xml:space="preserve">"Dispõe sobre as diretrizes estaduais de apoio à criação do Sistema do Conselho Federal e Conselhos Regionais dos Professores da Educação Básica, assegurando a autorregulação ética da profissão, a fiscalização do exercício docente e a preservação da dignidade da classe."</w:t>
      </w:r>
    </w:p>
    <w:p>
      <w:r>
        <w:t xml:space="preserve">Justificativa Teórico-Política e Fundamentação</w:t>
      </w:r>
    </w:p>
    <w:p>
      <w:pPr>
        <w:spacing w:before="60" w:after="120" w:line="276"/>
        <w:jc w:val="both"/>
      </w:pPr>
      <w:r>
        <w:t xml:space="preserve">Advogados possuem a OAB; médicos, o CRM; engenheiros, o CREA. Apenas os professores da educação básica brasileira — responsáveis pela formação intelectual e cívica de todas as demais profissões e gerações — permanecem desprovidos de um órgão corporativo público de direito capaz de fiscalizar o exercício da profissão, resguardar as atribuições exclusivas do magistério e barrar a invasão da sala de aula por indivíduos desqualificados sob pretexto de 'notório saber'.</w:t>
      </w:r>
    </w:p>
    <w:p>
      <w:pPr>
        <w:spacing w:before="60" w:after="120" w:line="276"/>
        <w:jc w:val="both"/>
      </w:pPr>
      <w:r>
        <w:t xml:space="preserve">O Sistema CFPEB/CEPEB não concorre com os sindicatos — cuja função inalienável é a luta classista por salários e direitos contra o patrão estatal ou privado —, mas estabelece o tribunal de ética profissional, combate o exercício ilegal e defende a autonomia didática e a autoridade pedagógica do professor com poder de polícia administrativa perante governos passageiros.</w:t>
      </w:r>
    </w:p>
    <w:p>
      <w:r>
        <w:t xml:space="preserve">Minuta Articulada da Proposta de Lei</w:t>
      </w:r>
    </w:p>
    <w:p>
      <w:pPr>
        <w:spacing w:before="60" w:after="120" w:line="276"/>
        <w:jc w:val="both"/>
      </w:pPr>
      <w:r>
        <w:t xml:space="preserve">Art. 1º O Estado de Goiás reconhece a relevância institucional da regulamentação do Sistema CFPEB/CEPEB e apoiará administrativamente a implantação do Conselho Regional dos Professores da Educação Básica de Goiás (CEPEB-GO), entidade autárquica federal dotada de autonomia administrativa e financeira.</w:t>
      </w:r>
    </w:p>
    <w:p>
      <w:pPr>
        <w:spacing w:before="60" w:after="120" w:line="276"/>
        <w:jc w:val="both"/>
      </w:pPr>
      <w:r>
        <w:t xml:space="preserve">Art. 2º O exercício da docência em toda e qualquer unidade de educação infantil, fundamental e média, pública ou privada no território goiano, constitui prerrogativa exclusiva e privativa dos profissionais diplomados em cursos de licenciatura plena reconhecidos, vedada a contratação baseada em notório saber para disciplinas da grade regular comum.</w:t>
      </w:r>
    </w:p>
    <w:p>
      <w:pPr>
        <w:spacing w:before="60" w:after="120" w:line="276"/>
        <w:jc w:val="both"/>
      </w:pPr>
      <w:r>
        <w:t xml:space="preserve">Art. 3º O CEPEB atuará com poder fiscalizatório direto nas unidades escolares públicas e privadas de Goiás, inspecionando:</w:t>
      </w:r>
    </w:p>
    <w:p>
      <w:r>
        <w:t xml:space="preserve">1. A observância estrita da proporção adequada de estudantes por sala de aula.
2. A garantia dos tempos remunerados de coordenação pedagógica e planejamento fora da sala de aula.
3. A integridade física, ergonômica e moral dos postos de trabalho dos professores regentes.
4. Casos de violação da liberdade de cátedra e intimidação ideológica praticados contra docentes.</w:t>
      </w:r>
    </w:p>
    <w:p>
      <w:pPr>
        <w:pBdr>
          <w:bottom w:val="single" w:color="CCCCCC" w:sz="6"/>
        </w:pBdr>
        <w:spacing w:before="200" w:after="200"/>
      </w:pPr>
    </w:p>
    <w:p>
      <w:pPr>
        <w:pStyle w:val="Heading3"/>
        <w:spacing w:before="240" w:after="120"/>
      </w:pPr>
      <w:r>
        <w:t xml:space="preserve">SEÇÃO: COMPARAÇÃO FEDERATIVA (TABELAS DE DADOS)</w:t>
      </w:r>
    </w:p>
    <w:p>
      <w:pPr>
        <w:spacing w:before="60" w:after="120" w:line="276"/>
        <w:jc w:val="both"/>
      </w:pPr>
      <w:r>
        <w:t xml:space="preserve">Apresentam-se a seguir os comparativos empíricos que desmistificam a propaganda governamental goiana, confrontando índices verificáveis da realidade funcional e remuneratória de Goiás com outros estados da federação:</w:t>
      </w:r>
    </w:p>
    <w:p>
      <w:r>
        <w:t xml:space="preserve">Comparativo de Remuneração e Condições de Trabalho Docente</w:t>
      </w:r>
    </w:p>
    <w:tbl>
      <w:tblPr>
        <w:tblW w:type="dxa" w:w="10800"/>
        <w:tblBorders>
          <w:top w:val="single" w:color="d1d5db" w:sz="1"/>
          <w:left w:val="single" w:color="d1d5db" w:sz="1"/>
          <w:bottom w:val="single" w:color="d1d5db" w:sz="1"/>
          <w:right w:val="single" w:color="d1d5db" w:sz="1"/>
          <w:insideH w:val="single" w:color="d1d5db" w:sz="1"/>
          <w:insideV w:val="single" w:color="d1d5db" w:sz="1"/>
        </w:tblBorders>
        <w:tblLayout w:type="fixed"/>
      </w:tblPr>
      <w:tblGrid>
        <w:gridCol w:w="1800"/>
        <w:gridCol w:w="1800"/>
        <w:gridCol w:w="1800"/>
        <w:gridCol w:w="1800"/>
        <w:gridCol w:w="1800"/>
        <w:gridCol w:w="1800"/>
      </w:tblGrid>
      <w:tr>
        <w:tc>
          <w:tcPr>
            <w:tcBorders>
              <w:top w:val="single" w:color="d1d5db" w:sz="1"/>
              <w:left w:val="single" w:color="d1d5db" w:sz="1"/>
              <w:bottom w:val="single" w:color="d1d5db" w:sz="1"/>
              <w:right w:val="single" w:color="d1d5db" w:sz="1"/>
            </w:tcBorders>
            <w:shd w:color="e5e7eb" w:val="solid"/>
            <w:tcMar>
              <w:top w:type="dxa" w:w="115"/>
              <w:left w:type="dxa" w:w="144"/>
              <w:bottom w:type="dxa" w:w="115"/>
              <w:right w:type="dxa" w:w="144"/>
            </w:tcMar>
          </w:tcPr>
          <w:p>
            <w:pPr>
              <w:spacing w:before="80" w:after="80"/>
              <w:jc w:val="center"/>
            </w:pPr>
            <w:r>
              <w:rPr>
                <w:rFonts w:ascii="Calibri" w:cs="Calibri" w:eastAsia="Calibri" w:hAnsi="Calibri"/>
                <w:b/>
                <w:bCs/>
                <w:sz w:val="20"/>
                <w:szCs w:val="20"/>
              </w:rPr>
              <w:t xml:space="preserve">Ente Federativo</w:t>
            </w:r>
          </w:p>
        </w:tc>
        <w:tc>
          <w:tcPr>
            <w:tcBorders>
              <w:top w:val="single" w:color="d1d5db" w:sz="1"/>
              <w:left w:val="single" w:color="d1d5db" w:sz="1"/>
              <w:bottom w:val="single" w:color="d1d5db" w:sz="1"/>
              <w:right w:val="single" w:color="d1d5db" w:sz="1"/>
            </w:tcBorders>
            <w:shd w:color="e5e7eb" w:val="solid"/>
            <w:tcMar>
              <w:top w:type="dxa" w:w="115"/>
              <w:left w:type="dxa" w:w="144"/>
              <w:bottom w:type="dxa" w:w="115"/>
              <w:right w:type="dxa" w:w="144"/>
            </w:tcMar>
          </w:tcPr>
          <w:p>
            <w:pPr>
              <w:spacing w:before="80" w:after="80"/>
              <w:jc w:val="center"/>
            </w:pPr>
            <w:r>
              <w:rPr>
                <w:rFonts w:ascii="Calibri" w:cs="Calibri" w:eastAsia="Calibri" w:hAnsi="Calibri"/>
                <w:b/>
                <w:bCs/>
                <w:sz w:val="20"/>
                <w:szCs w:val="20"/>
              </w:rPr>
              <w:t xml:space="preserve">Piso Inicial (40h)</w:t>
            </w:r>
          </w:p>
        </w:tc>
        <w:tc>
          <w:tcPr>
            <w:tcBorders>
              <w:top w:val="single" w:color="d1d5db" w:sz="1"/>
              <w:left w:val="single" w:color="d1d5db" w:sz="1"/>
              <w:bottom w:val="single" w:color="d1d5db" w:sz="1"/>
              <w:right w:val="single" w:color="d1d5db" w:sz="1"/>
            </w:tcBorders>
            <w:shd w:color="e5e7eb" w:val="solid"/>
            <w:tcMar>
              <w:top w:type="dxa" w:w="115"/>
              <w:left w:type="dxa" w:w="144"/>
              <w:bottom w:type="dxa" w:w="115"/>
              <w:right w:type="dxa" w:w="144"/>
            </w:tcMar>
          </w:tcPr>
          <w:p>
            <w:pPr>
              <w:spacing w:before="80" w:after="80"/>
              <w:jc w:val="center"/>
            </w:pPr>
            <w:r>
              <w:rPr>
                <w:rFonts w:ascii="Calibri" w:cs="Calibri" w:eastAsia="Calibri" w:hAnsi="Calibri"/>
                <w:b/>
                <w:bCs/>
                <w:sz w:val="20"/>
                <w:szCs w:val="20"/>
              </w:rPr>
              <w:t xml:space="preserve">Piso no Final de Carreira</w:t>
            </w:r>
          </w:p>
        </w:tc>
        <w:tc>
          <w:tcPr>
            <w:tcBorders>
              <w:top w:val="single" w:color="d1d5db" w:sz="1"/>
              <w:left w:val="single" w:color="d1d5db" w:sz="1"/>
              <w:bottom w:val="single" w:color="d1d5db" w:sz="1"/>
              <w:right w:val="single" w:color="d1d5db" w:sz="1"/>
            </w:tcBorders>
            <w:shd w:color="e5e7eb" w:val="solid"/>
            <w:tcMar>
              <w:top w:type="dxa" w:w="115"/>
              <w:left w:type="dxa" w:w="144"/>
              <w:bottom w:type="dxa" w:w="115"/>
              <w:right w:type="dxa" w:w="144"/>
            </w:tcMar>
          </w:tcPr>
          <w:p>
            <w:pPr>
              <w:spacing w:before="80" w:after="80"/>
              <w:jc w:val="center"/>
            </w:pPr>
            <w:r>
              <w:rPr>
                <w:rFonts w:ascii="Calibri" w:cs="Calibri" w:eastAsia="Calibri" w:hAnsi="Calibri"/>
                <w:b/>
                <w:bCs/>
                <w:sz w:val="20"/>
                <w:szCs w:val="20"/>
              </w:rPr>
              <w:t xml:space="preserve">Regência na Licença Médica</w:t>
            </w:r>
          </w:p>
        </w:tc>
        <w:tc>
          <w:tcPr>
            <w:tcBorders>
              <w:top w:val="single" w:color="d1d5db" w:sz="1"/>
              <w:left w:val="single" w:color="d1d5db" w:sz="1"/>
              <w:bottom w:val="single" w:color="d1d5db" w:sz="1"/>
              <w:right w:val="single" w:color="d1d5db" w:sz="1"/>
            </w:tcBorders>
            <w:shd w:color="e5e7eb" w:val="solid"/>
            <w:tcMar>
              <w:top w:type="dxa" w:w="115"/>
              <w:left w:type="dxa" w:w="144"/>
              <w:bottom w:type="dxa" w:w="115"/>
              <w:right w:type="dxa" w:w="144"/>
            </w:tcMar>
          </w:tcPr>
          <w:p>
            <w:pPr>
              <w:spacing w:before="80" w:after="80"/>
              <w:jc w:val="center"/>
            </w:pPr>
            <w:r>
              <w:rPr>
                <w:rFonts w:ascii="Calibri" w:cs="Calibri" w:eastAsia="Calibri" w:hAnsi="Calibri"/>
                <w:b/>
                <w:bCs/>
                <w:sz w:val="20"/>
                <w:szCs w:val="20"/>
              </w:rPr>
              <w:t xml:space="preserve">Modelo Pericial de Saúde</w:t>
            </w:r>
          </w:p>
        </w:tc>
        <w:tc>
          <w:tcPr>
            <w:tcBorders>
              <w:top w:val="single" w:color="d1d5db" w:sz="1"/>
              <w:left w:val="single" w:color="d1d5db" w:sz="1"/>
              <w:bottom w:val="single" w:color="d1d5db" w:sz="1"/>
              <w:right w:val="single" w:color="d1d5db" w:sz="1"/>
            </w:tcBorders>
            <w:shd w:color="e5e7eb" w:val="solid"/>
            <w:tcMar>
              <w:top w:type="dxa" w:w="115"/>
              <w:left w:type="dxa" w:w="144"/>
              <w:bottom w:type="dxa" w:w="115"/>
              <w:right w:type="dxa" w:w="144"/>
            </w:tcMar>
          </w:tcPr>
          <w:p>
            <w:pPr>
              <w:spacing w:before="80" w:after="80"/>
              <w:jc w:val="center"/>
            </w:pPr>
            <w:r>
              <w:rPr>
                <w:rFonts w:ascii="Calibri" w:cs="Calibri" w:eastAsia="Calibri" w:hAnsi="Calibri"/>
                <w:b/>
                <w:bCs/>
                <w:sz w:val="20"/>
                <w:szCs w:val="20"/>
              </w:rPr>
              <w:t xml:space="preserve">Ranking de Valorização</w:t>
            </w:r>
          </w:p>
        </w:tc>
      </w:tr>
      <w:tr>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Maranhão</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R$ 4.200,00</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R$ 7.500,00</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Integralmente Mantida</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Descentralizado em Polos Regionais</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1º Lugar Nacional</w:t>
            </w:r>
          </w:p>
        </w:tc>
      </w:tr>
      <w:tr>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Mato Grosso do Sul</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R$ 4.100,00</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R$ 7.200,00</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Preservada sem Descontos</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Rede Própria de Saúde Integral</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2º Lugar Nacional</w:t>
            </w:r>
          </w:p>
        </w:tc>
      </w:tr>
      <w:tr>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Goiás (Realidade Atual)</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R$ 2.800,00</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R$ 4.500,00</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Confiscada Automaticamente</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Terceirizada / Centralizada em Goiânia</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24º Posição Nacional</w:t>
            </w:r>
          </w:p>
        </w:tc>
      </w:tr>
      <w:tr>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Goiás (Com as Nossas Leis)</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R$ 8.500,00</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R$ 13.500,00</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Irredutível por Lei Complementar</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Descentralizado no IPASGO Local</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3º Posição Nacional</w:t>
            </w:r>
          </w:p>
        </w:tc>
      </w:tr>
    </w:tbl>
    <w:p>
      <w:r>
        <w:t xml:space="preserve">Comparativo de Indicadores Ocupacionais e Institucionais</w:t>
      </w:r>
    </w:p>
    <w:tbl>
      <w:tblPr>
        <w:tblW w:type="dxa" w:w="10800"/>
        <w:tblBorders>
          <w:top w:val="single" w:color="d1d5db" w:sz="1"/>
          <w:left w:val="single" w:color="d1d5db" w:sz="1"/>
          <w:bottom w:val="single" w:color="d1d5db" w:sz="1"/>
          <w:right w:val="single" w:color="d1d5db" w:sz="1"/>
          <w:insideH w:val="single" w:color="d1d5db" w:sz="1"/>
          <w:insideV w:val="single" w:color="d1d5db" w:sz="1"/>
        </w:tblBorders>
        <w:tblLayout w:type="fixed"/>
      </w:tblPr>
      <w:tblGrid>
        <w:gridCol w:w="2160"/>
        <w:gridCol w:w="2160"/>
        <w:gridCol w:w="2160"/>
        <w:gridCol w:w="2160"/>
        <w:gridCol w:w="2160"/>
      </w:tblGrid>
      <w:tr>
        <w:tc>
          <w:tcPr>
            <w:tcBorders>
              <w:top w:val="single" w:color="d1d5db" w:sz="1"/>
              <w:left w:val="single" w:color="d1d5db" w:sz="1"/>
              <w:bottom w:val="single" w:color="d1d5db" w:sz="1"/>
              <w:right w:val="single" w:color="d1d5db" w:sz="1"/>
            </w:tcBorders>
            <w:shd w:color="e5e7eb" w:val="solid"/>
            <w:tcMar>
              <w:top w:type="dxa" w:w="115"/>
              <w:left w:type="dxa" w:w="144"/>
              <w:bottom w:type="dxa" w:w="115"/>
              <w:right w:type="dxa" w:w="144"/>
            </w:tcMar>
          </w:tcPr>
          <w:p>
            <w:pPr>
              <w:spacing w:before="80" w:after="80"/>
              <w:jc w:val="center"/>
            </w:pPr>
            <w:r>
              <w:rPr>
                <w:rFonts w:ascii="Calibri" w:cs="Calibri" w:eastAsia="Calibri" w:hAnsi="Calibri"/>
                <w:b/>
                <w:bCs/>
                <w:sz w:val="20"/>
                <w:szCs w:val="20"/>
              </w:rPr>
              <w:t xml:space="preserve">Indicador de Qualidade Funcional</w:t>
            </w:r>
          </w:p>
        </w:tc>
        <w:tc>
          <w:tcPr>
            <w:tcBorders>
              <w:top w:val="single" w:color="d1d5db" w:sz="1"/>
              <w:left w:val="single" w:color="d1d5db" w:sz="1"/>
              <w:bottom w:val="single" w:color="d1d5db" w:sz="1"/>
              <w:right w:val="single" w:color="d1d5db" w:sz="1"/>
            </w:tcBorders>
            <w:shd w:color="e5e7eb" w:val="solid"/>
            <w:tcMar>
              <w:top w:type="dxa" w:w="115"/>
              <w:left w:type="dxa" w:w="144"/>
              <w:bottom w:type="dxa" w:w="115"/>
              <w:right w:type="dxa" w:w="144"/>
            </w:tcMar>
          </w:tcPr>
          <w:p>
            <w:pPr>
              <w:spacing w:before="80" w:after="80"/>
              <w:jc w:val="center"/>
            </w:pPr>
            <w:r>
              <w:rPr>
                <w:rFonts w:ascii="Calibri" w:cs="Calibri" w:eastAsia="Calibri" w:hAnsi="Calibri"/>
                <w:b/>
                <w:bCs/>
                <w:sz w:val="20"/>
                <w:szCs w:val="20"/>
              </w:rPr>
              <w:t xml:space="preserve">Maranhão</w:t>
            </w:r>
          </w:p>
        </w:tc>
        <w:tc>
          <w:tcPr>
            <w:tcBorders>
              <w:top w:val="single" w:color="d1d5db" w:sz="1"/>
              <w:left w:val="single" w:color="d1d5db" w:sz="1"/>
              <w:bottom w:val="single" w:color="d1d5db" w:sz="1"/>
              <w:right w:val="single" w:color="d1d5db" w:sz="1"/>
            </w:tcBorders>
            <w:shd w:color="e5e7eb" w:val="solid"/>
            <w:tcMar>
              <w:top w:type="dxa" w:w="115"/>
              <w:left w:type="dxa" w:w="144"/>
              <w:bottom w:type="dxa" w:w="115"/>
              <w:right w:type="dxa" w:w="144"/>
            </w:tcMar>
          </w:tcPr>
          <w:p>
            <w:pPr>
              <w:spacing w:before="80" w:after="80"/>
              <w:jc w:val="center"/>
            </w:pPr>
            <w:r>
              <w:rPr>
                <w:rFonts w:ascii="Calibri" w:cs="Calibri" w:eastAsia="Calibri" w:hAnsi="Calibri"/>
                <w:b/>
                <w:bCs/>
                <w:sz w:val="20"/>
                <w:szCs w:val="20"/>
              </w:rPr>
              <w:t xml:space="preserve">Mato Grosso do Sul</w:t>
            </w:r>
          </w:p>
        </w:tc>
        <w:tc>
          <w:tcPr>
            <w:tcBorders>
              <w:top w:val="single" w:color="d1d5db" w:sz="1"/>
              <w:left w:val="single" w:color="d1d5db" w:sz="1"/>
              <w:bottom w:val="single" w:color="d1d5db" w:sz="1"/>
              <w:right w:val="single" w:color="d1d5db" w:sz="1"/>
            </w:tcBorders>
            <w:shd w:color="e5e7eb" w:val="solid"/>
            <w:tcMar>
              <w:top w:type="dxa" w:w="115"/>
              <w:left w:type="dxa" w:w="144"/>
              <w:bottom w:type="dxa" w:w="115"/>
              <w:right w:type="dxa" w:w="144"/>
            </w:tcMar>
          </w:tcPr>
          <w:p>
            <w:pPr>
              <w:spacing w:before="80" w:after="80"/>
              <w:jc w:val="center"/>
            </w:pPr>
            <w:r>
              <w:rPr>
                <w:rFonts w:ascii="Calibri" w:cs="Calibri" w:eastAsia="Calibri" w:hAnsi="Calibri"/>
                <w:b/>
                <w:bCs/>
                <w:sz w:val="20"/>
                <w:szCs w:val="20"/>
              </w:rPr>
              <w:t xml:space="preserve">Goiás (Cenário Real)</w:t>
            </w:r>
          </w:p>
        </w:tc>
        <w:tc>
          <w:tcPr>
            <w:tcBorders>
              <w:top w:val="single" w:color="d1d5db" w:sz="1"/>
              <w:left w:val="single" w:color="d1d5db" w:sz="1"/>
              <w:bottom w:val="single" w:color="d1d5db" w:sz="1"/>
              <w:right w:val="single" w:color="d1d5db" w:sz="1"/>
            </w:tcBorders>
            <w:shd w:color="e5e7eb" w:val="solid"/>
            <w:tcMar>
              <w:top w:type="dxa" w:w="115"/>
              <w:left w:type="dxa" w:w="144"/>
              <w:bottom w:type="dxa" w:w="115"/>
              <w:right w:type="dxa" w:w="144"/>
            </w:tcMar>
          </w:tcPr>
          <w:p>
            <w:pPr>
              <w:spacing w:before="80" w:after="80"/>
              <w:jc w:val="center"/>
            </w:pPr>
            <w:r>
              <w:rPr>
                <w:rFonts w:ascii="Calibri" w:cs="Calibri" w:eastAsia="Calibri" w:hAnsi="Calibri"/>
                <w:b/>
                <w:bCs/>
                <w:sz w:val="20"/>
                <w:szCs w:val="20"/>
              </w:rPr>
              <w:t xml:space="preserve">Meta do Nosso Mandato</w:t>
            </w:r>
          </w:p>
        </w:tc>
      </w:tr>
      <w:tr>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Carga Horária de Formação Continuada Anual</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60 horas remuneradas</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50 horas remuneradas</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10 horas precárias</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40 horas em projetos reais</w:t>
            </w:r>
          </w:p>
        </w:tc>
      </w:tr>
      <w:tr>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Proporção de Psicólogos por Escola</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1 para cada 200 alunos</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1 para cada 250 alunos</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1 para cada 1.500 alunos</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Equipe própria por polo escolar</w:t>
            </w:r>
          </w:p>
        </w:tc>
      </w:tr>
      <w:tr>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Incidência Diagnosticada de Burnout</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15% do quadro docente</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18% do quadro docente</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45% do quadro docente</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Redução imediata para 12%</w:t>
            </w:r>
          </w:p>
        </w:tc>
      </w:tr>
      <w:tr>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Estabilidade da Lotação em Caso de Denúncia</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Garantida por estatuto</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Garantida por comissão</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Remoção punitiva frequente</w:t>
            </w:r>
          </w:p>
        </w:tc>
        <w:tc>
          <w:tcPr>
            <w:tcBorders>
              <w:top w:val="single" w:color="d1d5db" w:sz="1"/>
              <w:left w:val="single" w:color="d1d5db" w:sz="1"/>
              <w:bottom w:val="single" w:color="d1d5db" w:sz="1"/>
              <w:right w:val="single" w:color="d1d5db" w:sz="1"/>
            </w:tcBorders>
            <w:tcMar>
              <w:top w:type="dxa" w:w="115"/>
              <w:left w:type="dxa" w:w="144"/>
              <w:bottom w:type="dxa" w:w="115"/>
              <w:right w:type="dxa" w:w="144"/>
            </w:tcMar>
          </w:tcPr>
          <w:p>
            <w:pPr>
              <w:spacing w:before="60" w:after="60"/>
            </w:pPr>
            <w:r>
              <w:rPr>
                <w:rFonts w:ascii="Calibri" w:cs="Calibri" w:eastAsia="Calibri" w:hAnsi="Calibri"/>
                <w:sz w:val="20"/>
                <w:szCs w:val="20"/>
              </w:rPr>
              <w:t xml:space="preserve">Estabilidade formal de 24 meses</w:t>
            </w:r>
          </w:p>
        </w:tc>
      </w:tr>
    </w:tbl>
    <w:p>
      <w:pPr>
        <w:pBdr>
          <w:bottom w:val="single" w:color="CCCCCC" w:sz="6"/>
        </w:pBdr>
        <w:spacing w:before="200" w:after="200"/>
      </w:pPr>
    </w:p>
    <w:p>
      <w:pPr>
        <w:pStyle w:val="Heading3"/>
        <w:spacing w:before="240" w:after="120"/>
      </w:pPr>
      <w:r>
        <w:t xml:space="preserve">SEÇÃO: VOZES DA ESCOLA (NARRATIVAS ESTRUTURADAS DA PESQUISA)</w:t>
      </w:r>
    </w:p>
    <w:p>
      <w:pPr>
        <w:spacing w:before="60" w:after="120" w:line="276"/>
        <w:jc w:val="both"/>
      </w:pPr>
      <w:r>
        <w:rPr>
          <w:i/>
          <w:iCs/>
        </w:rPr>
        <w:t xml:space="preserve">As narrativas abaixo foram consolidadas com base em casos reais documentados durante o trabalho de campo, tendo seus dados nominais e detalhes de localização modificados para assegurar a inviolabilidade da identidade dos educadores envolvidos contra perseguições funcionais.</w:t>
      </w:r>
    </w:p>
    <w:p>
      <w:r>
        <w:t xml:space="preserve">Caso 1: O Esgotamento do Corpo e o Castigo do Confisco Salarial</w:t>
      </w:r>
    </w:p>
    <w:p>
      <w:pPr>
        <w:spacing w:before="60" w:after="120" w:line="276"/>
        <w:jc w:val="both"/>
      </w:pPr>
      <w:r>
        <w:t xml:space="preserve">Durante doze anos ininterruptos, o docente R.S. dedicou sua vida ao ensino de matemática em colégios estaduais da periferia metropolitana de Goiânia. Respeitado pela comunidade, alcançava altos índices de aprendizagem real através de feiras científicas e oficinas de raciocínio lógico. A rotina de trabalho, entretanto, foi violentamente alterada com a chegada de uma nova gestão indicada puramente por arranjos políticos locais.</w:t>
      </w:r>
    </w:p>
    <w:p>
      <w:pPr>
        <w:spacing w:before="60" w:after="120" w:line="276"/>
        <w:jc w:val="both"/>
      </w:pPr>
      <w:r>
        <w:t xml:space="preserve">O professor passou a ser cotidianamente constrangido em reuniões pedagógicas por se recusar a atribuir pontuação integral para alunos ausentes e que não haviam demonstrado domínio dos conteúdos mínimos. Sentindo palpitações no peito ao entrar na unidade, desenvolveu síndrome de pânico associada a refluxo severo. Ao solicitar licença para tratamento médico atestada por psiquiatra, descobriu que o contracheque do mês seguinte veio reduzido em mais de 40%, devido ao confisco automático da sua gratificação de regência de classe.</w:t>
      </w:r>
    </w:p>
    <w:p>
      <w:pPr>
        <w:spacing w:before="60" w:after="120" w:line="276"/>
        <w:jc w:val="both"/>
      </w:pPr>
      <w:r>
        <w:t xml:space="preserve">Doente, sem conseguir arcar com os custos de seus próprios remédios e forçado a se deslocar a Goiânia em ônibus lotado para ser humilhado em uma junta terceirizada que desdenhou de sua condição, R.S. representa o drama de centenas de educadores goianos. Nossa Lei Antiassédio e de Carreira Digna põe fim definitivo a este ciclo de crueldade institucional.</w:t>
      </w:r>
    </w:p>
    <w:p>
      <w:r>
        <w:t xml:space="preserve">Caso 2: A Fuga de Cérebros Provocada pelo Rebaixamento Funcional</w:t>
      </w:r>
    </w:p>
    <w:p>
      <w:pPr>
        <w:spacing w:before="60" w:after="120" w:line="276"/>
        <w:jc w:val="both"/>
      </w:pPr>
      <w:r>
        <w:t xml:space="preserve">Graduada com louvor em Letras e mestre em Linguística por uma universidade federal de excelência, a professora M.T. lecionava há quase uma década na rede pública estadual do interior goiano. Seu compromisso pedagógico envolvia clubes de leitura, escrita literária e preparação para redação de exames vestibulares que colocavam seus alunos nos cursos mais concorridos do país.</w:t>
      </w:r>
    </w:p>
    <w:p>
      <w:pPr>
        <w:spacing w:before="60" w:after="120" w:line="276"/>
        <w:jc w:val="both"/>
      </w:pPr>
      <w:r>
        <w:t xml:space="preserve">Apesar de sua vasta formação, M.T. constatou que, após dez anos de exercício, seus vencimentos totais mal atingiam a faixa dos dois salários mínimos e meio, enquanto colegas graduados que optaram por prestar concurso no estado vizinho do Mato Grosso do Sul já recebiam vencimentos iniciais superiores a R$ 10.000,00 mensais por 40 horas semanais, somados aos incentivos de plano de carreira e apoio psicológico continuado.</w:t>
      </w:r>
    </w:p>
    <w:p>
      <w:pPr>
        <w:spacing w:before="60" w:after="120" w:line="276"/>
        <w:jc w:val="both"/>
      </w:pPr>
      <w:r>
        <w:t xml:space="preserve">Asfixiada pela impossibilidade de honrar compromissos financeiros básicos e sem perspectivas de valorização da sua titulação acadêmica em Goiás, a professora pediu exoneração definitiva e transferiu-se para a rede pública vizinha. Goiás perdeu uma das suas mentes mais brilhantes; os estudantes da escola pública goiana perderam uma referência formadora inestimável. Nosso Plano Salarial garante a retenção imediata das mentes que transformam nosso estado.</w:t>
      </w:r>
    </w:p>
    <w:p>
      <w:r>
        <w:t xml:space="preserve">Caso 3: A Violência das Estatísticas Maquiadas</w:t>
      </w:r>
    </w:p>
    <w:p>
      <w:pPr>
        <w:spacing w:before="60" w:after="120" w:line="276"/>
        <w:jc w:val="both"/>
      </w:pPr>
      <w:r>
        <w:t xml:space="preserve">No sudoeste goiano, o professor de História L.A. viu seu compromisso profissional ser esmagado pelo mecanismo institucional da aprovação compulsória. Ao final do segundo semestre letivo, após sucessivas intervenções de recuperação paralela, diagnóstico minucioso e encaminhamentos pedagógicos, considerou que um grupo de dezoito estudantes necessitava de retenção fundamentada para que não avançassem com carências basilares de leitura e interpretação.</w:t>
      </w:r>
    </w:p>
    <w:p>
      <w:pPr>
        <w:spacing w:before="60" w:after="120" w:line="276"/>
        <w:jc w:val="both"/>
      </w:pPr>
      <w:r>
        <w:t xml:space="preserve">Sem qualquer diálogo ou comunicação, o professor foi convocado à sala da direção, onde uma ata padronizada já se encontrava impressa pela gestão, determinando que todas as menções fossem recalculadas para atingir o índice percentual estabelecido como meta da regional para aquele colégio. Ao se recusar a assinar a falsificação de documentos pedagógicos, L.A. passou a sofrer processo de isolamento deliberado, teve suas turmas avançadas redistribuídas para professores temporários e enfrentou ameaças veladas de abertura de sindicância.</w:t>
      </w:r>
    </w:p>
    <w:p>
      <w:pPr>
        <w:spacing w:before="60" w:after="120" w:line="276"/>
        <w:jc w:val="both"/>
      </w:pPr>
      <w:r>
        <w:t xml:space="preserve">A aprovação estatística forjada não atende aos alunos: atende tão somente à vaidade orçamentária dos governantes de plantão. Nosso Eixo de Aprendizado Real restabelece a soberania técnica e pedagógica do professor na sala de aula.</w:t>
      </w:r>
    </w:p>
    <w:p>
      <w:pPr>
        <w:pBdr>
          <w:bottom w:val="single" w:color="CCCCCC" w:sz="6"/>
        </w:pBdr>
        <w:spacing w:before="200" w:after="200"/>
      </w:pPr>
    </w:p>
    <w:p>
      <w:pPr>
        <w:pStyle w:val="Heading3"/>
        <w:spacing w:before="240" w:after="120"/>
      </w:pPr>
      <w:r>
        <w:t xml:space="preserve">SEÇÃO: QUEM É O PROFESSOR ALEX BENÍCIO</w:t>
      </w:r>
    </w:p>
    <w:p>
      <w:pPr>
        <w:spacing w:before="60" w:after="120" w:line="276"/>
        <w:jc w:val="both"/>
      </w:pPr>
      <w:r>
        <w:t xml:space="preserve">O Professor Alex Benício não é um observador externo da educação goiana: é um educador que vive, estuda e enfrenta as contradições do chão da escola todos os dias há mais de quinze anos. Licenciado em Física, pesquisador atuante na área de Ensino de Ciências e Políticas Públicas Educacionais, consolidou sua vida profissional combatendo a degradação estrutural das salas de aula públicas.</w:t>
      </w:r>
    </w:p>
    <w:p>
      <w:pPr>
        <w:spacing w:before="60" w:after="120" w:line="276"/>
        <w:jc w:val="both"/>
      </w:pPr>
      <w:r>
        <w:t xml:space="preserve">Militante comprometido do Partido Socialismo e Liberdade (PSOL) em Goiás, construiu sua trajetória articulando a produção do conhecimento científico com as lutas da classe trabalhadora. Sua pré-candidatura a deputado estadual nasce da constatação elementar de que não basta lamentar a desumanização dos professores nas salas de professores: é imperativo ocupar as cadeiras da Assembleia Legislativa do Estado de Goiás para desmantelar os privilégios dos donos do poder e protocolar projetos de lei que blindem a escola pública contra o autoritarismo governamental.</w:t>
      </w:r>
    </w:p>
    <w:p>
      <w:pPr>
        <w:spacing w:before="60" w:after="120" w:line="276"/>
        <w:jc w:val="both"/>
      </w:pPr>
      <w:r>
        <w:t xml:space="preserve">Este mandato coletivo e popular é fundado em duas diretrizes inegociáveis: rigor de pesquisa para desnudar a mentira oficial e coragem política para enfrentar a estrutura do medo. Não nos submetemos aos coronelismos regionais nem às conveniências de gabinetes fechados. A nossa trincheira é a dignidade de quem educa Goiás.</w:t>
      </w:r>
    </w:p>
    <w:p>
      <w:pPr>
        <w:pBdr>
          <w:bottom w:val="single" w:color="CCCCCC" w:sz="6"/>
        </w:pBdr>
        <w:spacing w:before="200" w:after="200"/>
      </w:pPr>
    </w:p>
    <w:p>
      <w:pPr>
        <w:pStyle w:val="Heading3"/>
        <w:spacing w:before="240" w:after="120"/>
      </w:pPr>
      <w:r>
        <w:t xml:space="preserve">SEÇÃO: FORMULÁRIO DE ENGAJAMENTO E CANAL DE PARTICIPAÇÃO</w:t>
      </w:r>
    </w:p>
    <w:p>
      <w:r>
        <w:t xml:space="preserve">Conecte-se à Frente de Defesa do Magistério Goiano</w:t>
      </w:r>
    </w:p>
    <w:p>
      <w:pPr>
        <w:spacing w:before="60" w:after="120" w:line="276"/>
        <w:jc w:val="both"/>
      </w:pPr>
      <w:r>
        <w:t xml:space="preserve">A aprovação de um pacote de leis com este grau de enfrentamento não será concedida como benevolência da Assembleia Legislativa: ela será arrancada pela mobilização unificada da nossa categoria e de toda a comunidade escolar. Preencha os campos abaixo de maneira absolutamente segura e integre os comitês regionais de discussão das minutas legislativas:</w:t>
      </w:r>
    </w:p>
    <w:p>
      <w:pPr>
        <w:pStyle w:val="ListParagraph"/>
        <w:numPr>
          <w:ilvl w:val="0"/>
          <w:numId w:val="1"/>
        </w:numPr>
        <w:spacing w:before="40" w:after="40" w:line="276"/>
      </w:pPr>
      <w:r>
        <w:t xml:space="preserve">Nome Completo: [Campo de texto aberto]</w:t>
      </w:r>
    </w:p>
    <w:p>
      <w:pPr>
        <w:pStyle w:val="ListParagraph"/>
        <w:numPr>
          <w:ilvl w:val="0"/>
          <w:numId w:val="1"/>
        </w:numPr>
        <w:spacing w:before="40" w:after="40" w:line="276"/>
      </w:pPr>
      <w:r>
        <w:t xml:space="preserve">Segmento: [ ] Professor Efetivo  [ ] Professor Contrato Temporário  [ ] Aluno/Familiar  [ ] Servidor Administrativo</w:t>
      </w:r>
    </w:p>
    <w:p>
      <w:pPr>
        <w:pStyle w:val="ListParagraph"/>
        <w:numPr>
          <w:ilvl w:val="0"/>
          <w:numId w:val="1"/>
        </w:numPr>
        <w:spacing w:before="40" w:after="40" w:line="276"/>
      </w:pPr>
      <w:r>
        <w:t xml:space="preserve">Município de Atuação: [Lista suspensa dos 246 municípios de Goiás]</w:t>
      </w:r>
    </w:p>
    <w:p>
      <w:pPr>
        <w:pStyle w:val="ListParagraph"/>
        <w:numPr>
          <w:ilvl w:val="0"/>
          <w:numId w:val="1"/>
        </w:numPr>
        <w:spacing w:before="40" w:after="40" w:line="276"/>
      </w:pPr>
      <w:r>
        <w:t xml:space="preserve">Unidade Escolar / Regional: [Campo de texto aberto]</w:t>
      </w:r>
    </w:p>
    <w:p>
      <w:pPr>
        <w:pStyle w:val="ListParagraph"/>
        <w:numPr>
          <w:ilvl w:val="0"/>
          <w:numId w:val="1"/>
        </w:numPr>
        <w:spacing w:before="40" w:after="40" w:line="276"/>
      </w:pPr>
      <w:r>
        <w:t xml:space="preserve">Telefone / WhatsApp com DDD: [Campo numérico]</w:t>
      </w:r>
    </w:p>
    <w:p>
      <w:pPr>
        <w:pStyle w:val="ListParagraph"/>
        <w:numPr>
          <w:ilvl w:val="0"/>
          <w:numId w:val="1"/>
        </w:numPr>
        <w:spacing w:before="40" w:after="40" w:line="276"/>
      </w:pPr>
      <w:r>
        <w:t xml:space="preserve">Contribuição / Relato: [Área de texto livre: Compartilhe sua experiência de trabalho ou envie sua sugestão de melhoria aos artigos das nossas minutas de lei]</w:t>
      </w:r>
    </w:p>
    <w:p>
      <w:pPr>
        <w:pStyle w:val="ListParagraph"/>
        <w:numPr>
          <w:ilvl w:val="0"/>
          <w:numId w:val="1"/>
        </w:numPr>
        <w:spacing w:before="40" w:after="40" w:line="276"/>
      </w:pPr>
      <w:r>
        <w:t xml:space="preserve">Declaração de Consentimento: [x] Autorizo a utilização estritamente estatística dos meus relatos, sob total garantia de anonimato, e desejo receber as convocações para as plenárias virtuais do mandato.</w:t>
      </w:r>
    </w:p>
    <w:p>
      <w:pPr>
        <w:pBdr>
          <w:bottom w:val="single" w:color="CCCCCC" w:sz="6"/>
        </w:pBdr>
        <w:spacing w:before="200" w:after="200"/>
      </w:pPr>
    </w:p>
    <w:p>
      <w:pPr>
        <w:pStyle w:val="Heading2"/>
        <w:spacing w:before="360" w:after="180"/>
      </w:pPr>
      <w:r>
        <w:t xml:space="preserve">DIRETRIZES DE ESTILO E DESIGN PARA O DESENVOLVEDOR WORDPRESS</w:t>
      </w:r>
    </w:p>
    <w:p>
      <w:pPr>
        <w:spacing w:before="60" w:after="120" w:line="276"/>
        <w:jc w:val="both"/>
      </w:pPr>
      <w:r>
        <w:t xml:space="preserve">Para garantir que a transposição do conteúdo deste documento para a plataforma Elementor/Gutenberg em alexbenicio.com.br preserve rigorosamente a estética do partido e a seriedade exigida por uma plataforma legislativa, o desenvolvedor web responsável deverá implementar rigorosamente as seguintes configurações técnicas de CSS e layout:</w:t>
      </w:r>
    </w:p>
    <w:p>
      <w:pPr>
        <w:pStyle w:val="Heading3"/>
        <w:spacing w:before="240" w:after="120"/>
      </w:pPr>
      <w:r>
        <w:t xml:space="preserve">1. Classes de Contêineres e Seções</w:t>
      </w:r>
    </w:p>
    <w:p>
      <w:pPr>
        <w:pStyle w:val="ListParagraph"/>
        <w:numPr>
          <w:ilvl w:val="0"/>
          <w:numId w:val="1"/>
        </w:numPr>
        <w:spacing w:before="40" w:after="40" w:line="276"/>
      </w:pPr>
      <w:r>
        <w:t xml:space="preserve">Hero Section (.hero-mandato): Fundo preenchido com #4A148C, texto principal em #FFFFFF, subtítulos em #F8F9FA. Espaçamento interno mínimo de 90px superior e inferior. Botão de chamada configurado em classe .btn-mobilizacao com fundo #FFD600, texto #212121 em tipografia peso 700, transição suave de opacidade ao passar o cursor.</w:t>
      </w:r>
    </w:p>
    <w:p>
      <w:pPr>
        <w:pStyle w:val="ListParagraph"/>
        <w:numPr>
          <w:ilvl w:val="0"/>
          <w:numId w:val="1"/>
        </w:numPr>
        <w:spacing w:before="40" w:after="40" w:line="276"/>
      </w:pPr>
      <w:r>
        <w:t xml:space="preserve">Contêineres de Diagnóstico (.secao-diagnostico): Fundo limpo em #FFFFFF. Títulos de seção alinhados à esquerda em #4A148C (classe H2), tamanho 32px com borda lateral decorativa roxa de 5px.</w:t>
      </w:r>
    </w:p>
    <w:p>
      <w:pPr>
        <w:pStyle w:val="ListParagraph"/>
        <w:numPr>
          <w:ilvl w:val="0"/>
          <w:numId w:val="1"/>
        </w:numPr>
        <w:spacing w:before="40" w:after="40" w:line="276"/>
      </w:pPr>
      <w:r>
        <w:t xml:space="preserve">Grid de Dados e Métricas (.metricas-pesquisa): Três colunas responsivas em desktop (única em mobile). Cards com fundo #F8F9FA, borda de 1px em #E0E0E0, sombra suave (box-shadow: 0 4px 6px rgba(0,0,0,0.05)). Os números dos gráficos devem ser destacados em tipografia de 48px na cor #B71C1C ou #4A148C.</w:t>
      </w:r>
    </w:p>
    <w:p>
      <w:pPr>
        <w:pStyle w:val="ListParagraph"/>
        <w:numPr>
          <w:ilvl w:val="0"/>
          <w:numId w:val="1"/>
        </w:numPr>
        <w:spacing w:before="40" w:after="40" w:line="276"/>
      </w:pPr>
      <w:r>
        <w:t xml:space="preserve">Contêineres das Propostas (.bloco-eixo-lei): Implementados através de abas dinâmicas ou acordeões semânticos. O cabeçalho de cada eixo deve carregar um ícone SVG alusivo (balança jurídica, livro pedagógico, cruz da saúde, escudo protetor).</w:t>
      </w:r>
    </w:p>
    <w:p>
      <w:pPr>
        <w:pStyle w:val="Heading3"/>
        <w:spacing w:before="240" w:after="120"/>
      </w:pPr>
      <w:r>
        <w:t xml:space="preserve">2. Estilização das Tabelas Comparativas</w:t>
      </w:r>
    </w:p>
    <w:p>
      <w:pPr>
        <w:pStyle w:val="ListParagraph"/>
        <w:numPr>
          <w:ilvl w:val="0"/>
          <w:numId w:val="1"/>
        </w:numPr>
        <w:spacing w:before="40" w:after="40" w:line="276"/>
      </w:pPr>
      <w:r>
        <w:t xml:space="preserve">As tabelas estruturadas devem possuir a classe .tabela-comparativa-goias. O elemento &lt;thead&gt; deve ter fundo obrigatório #4A148C com texto branco centralizado em peso 600.</w:t>
      </w:r>
    </w:p>
    <w:p>
      <w:pPr>
        <w:pStyle w:val="ListParagraph"/>
        <w:numPr>
          <w:ilvl w:val="0"/>
          <w:numId w:val="1"/>
        </w:numPr>
        <w:spacing w:before="40" w:after="40" w:line="276"/>
      </w:pPr>
      <w:r>
        <w:t xml:space="preserve">As linhas alternadas (tbody tr:nth-child(even)) devem ter fundo #F8F9FA para favorecer o escaneamento ocular. A linha referente a Goiás atual deve receber classe de destaque visual .alerta-goias com fonte em peso 600 e cor de texto #B71C1C.</w:t>
      </w:r>
    </w:p>
    <w:p>
      <w:pPr>
        <w:pStyle w:val="ListParagraph"/>
        <w:numPr>
          <w:ilvl w:val="0"/>
          <w:numId w:val="1"/>
        </w:numPr>
        <w:spacing w:before="40" w:after="40" w:line="276"/>
      </w:pPr>
      <w:r>
        <w:t xml:space="preserve">A linha referente a Goiás proposta por este mandato deve receber fundo levemente amarelo ouro (#FFFDE7) com texto em #212121 e peso 700.</w:t>
      </w:r>
    </w:p>
    <w:p>
      <w:pPr>
        <w:pStyle w:val="Heading3"/>
        <w:spacing w:before="240" w:after="120"/>
      </w:pPr>
      <w:r>
        <w:t xml:space="preserve">3. Responsividade e Performance</w:t>
      </w:r>
    </w:p>
    <w:p>
      <w:pPr>
        <w:pStyle w:val="ListParagraph"/>
        <w:numPr>
          <w:ilvl w:val="0"/>
          <w:numId w:val="1"/>
        </w:numPr>
        <w:spacing w:before="40" w:after="40" w:line="276"/>
      </w:pPr>
      <w:r>
        <w:t xml:space="preserve">Toda a diagramação precisa manter legibilidade impecável na visualização mobile (smartphones), com as tabelas recebendo a propriedade de rolagem horizontal suave (overflow-x: auto; -webkit-overflow-scrolling: touch;).</w:t>
      </w:r>
    </w:p>
    <w:p>
      <w:pPr>
        <w:pStyle w:val="ListParagraph"/>
        <w:numPr>
          <w:ilvl w:val="0"/>
          <w:numId w:val="1"/>
        </w:numPr>
        <w:spacing w:before="40" w:after="40" w:line="276"/>
      </w:pPr>
      <w:r>
        <w:t xml:space="preserve">O carregamento de scripts deve ser reduzido ao mínimo, assegurando taxa de abertura rápida para conexões instáveis de internet em cidades do interior do estado.</w:t>
      </w:r>
    </w:p>
    <w:p>
      <w:pPr>
        <w:pBdr>
          <w:bottom w:val="single" w:color="CCCCCC" w:sz="6"/>
        </w:pBdr>
        <w:spacing w:before="200" w:after="200"/>
      </w:pPr>
    </w:p>
    <w:p>
      <w:pPr>
        <w:spacing w:before="60" w:after="120" w:line="276"/>
      </w:pPr>
      <w:r>
        <w:rPr>
          <w:i/>
          <w:iCs/>
        </w:rPr>
        <w:t xml:space="preserve">Documento técnico e programático homologado em 23 de setembro de 2026. Conteúdo de domínio do Mandato Popular Professor Alex Benício — Federação PSOL/REDE Goiás.</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after="1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80" w:after="240"/>
    </w:pPr>
    <w:rPr>
      <w:rFonts w:ascii="Calibri" w:cs="Calibri" w:eastAsia="Calibri" w:hAnsi="Calibri"/>
      <w:b/>
      <w:bCs/>
      <w:sz w:val="52"/>
      <w:szCs w:val="52"/>
    </w:rPr>
  </w:style>
  <w:style w:type="paragraph" w:styleId="Heading2">
    <w:name w:val="Heading 2"/>
    <w:basedOn w:val="Normal"/>
    <w:next w:val="Normal"/>
    <w:qFormat/>
    <w:pPr>
      <w:spacing w:before="360" w:after="180"/>
    </w:pPr>
    <w:rPr>
      <w:rFonts w:ascii="Calibri" w:cs="Calibri" w:eastAsia="Calibri" w:hAnsi="Calibri"/>
      <w:b/>
      <w:bCs/>
      <w:sz w:val="36"/>
      <w:szCs w:val="36"/>
    </w:rPr>
  </w:style>
  <w:style w:type="paragraph" w:styleId="Heading3">
    <w:name w:val="Heading 3"/>
    <w:basedOn w:val="Normal"/>
    <w:next w:val="Normal"/>
    <w:qFormat/>
    <w:pPr>
      <w:spacing w:before="240" w:after="120"/>
    </w:pPr>
    <w:rPr>
      <w:rFonts w:ascii="Calibri" w:cs="Calibri" w:eastAsia="Calibri" w:hAnsi="Calibri"/>
      <w:b/>
      <w:bCs/>
      <w:sz w:val="28"/>
      <w:szCs w:val="28"/>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pPr>
      <w:spacing w:line="276"/>
    </w:pPr>
    <w:rPr>
      <w:rFonts w:ascii="Calibri" w:cs="Calibri" w:eastAsia="Calibri" w:hAnsi="Calibri"/>
      <w:sz w:val="22"/>
      <w:szCs w:val="22"/>
    </w:r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2026-09-24T03:36:00.428Z</dcterms:created>
  <dcterms:modified xsi:type="dcterms:W3CDTF">2026-09-24T03:36:00.428Z</dcterms:modified>
</cp:coreProperties>
</file>

<file path=docProps/custom.xml><?xml version="1.0" encoding="utf-8"?>
<Properties xmlns="http://schemas.openxmlformats.org/officeDocument/2006/custom-properties" xmlns:vt="http://schemas.openxmlformats.org/officeDocument/2006/docPropsVTypes"/>
</file>